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F714" w14:textId="77777777" w:rsidR="0071623E" w:rsidRDefault="00000000">
      <w:pPr>
        <w:ind w:left="2160" w:firstLine="720"/>
        <w:rPr>
          <w:b/>
          <w:sz w:val="36"/>
          <w:szCs w:val="36"/>
        </w:rPr>
      </w:pPr>
      <w:r>
        <w:rPr>
          <w:b/>
          <w:sz w:val="36"/>
          <w:szCs w:val="36"/>
        </w:rPr>
        <w:t>Københavns åbne Gymnasium</w:t>
      </w:r>
    </w:p>
    <w:p w14:paraId="5BD972D6" w14:textId="77777777" w:rsidR="0071623E" w:rsidRDefault="00000000">
      <w:pPr>
        <w:jc w:val="center"/>
        <w:rPr>
          <w:b/>
          <w:sz w:val="36"/>
          <w:szCs w:val="36"/>
        </w:rPr>
      </w:pPr>
      <w:r>
        <w:rPr>
          <w:b/>
          <w:sz w:val="36"/>
          <w:szCs w:val="36"/>
        </w:rPr>
        <w:t>KS Samfundsfag C</w:t>
      </w:r>
    </w:p>
    <w:p w14:paraId="40175AE7" w14:textId="77777777" w:rsidR="0071623E" w:rsidRDefault="00000000">
      <w:pPr>
        <w:ind w:left="2160" w:firstLine="720"/>
        <w:rPr>
          <w:b/>
          <w:sz w:val="32"/>
          <w:szCs w:val="32"/>
        </w:rPr>
      </w:pPr>
      <w:r>
        <w:rPr>
          <w:b/>
          <w:sz w:val="32"/>
          <w:szCs w:val="32"/>
        </w:rPr>
        <w:t>Velfærdsstatens udfordringer</w:t>
      </w:r>
    </w:p>
    <w:p w14:paraId="5B07349F" w14:textId="77777777" w:rsidR="0071623E" w:rsidRDefault="0071623E">
      <w:pPr>
        <w:ind w:left="2160" w:firstLine="720"/>
        <w:rPr>
          <w:b/>
          <w:sz w:val="32"/>
          <w:szCs w:val="32"/>
        </w:rPr>
      </w:pPr>
    </w:p>
    <w:p w14:paraId="3E7A9666" w14:textId="77777777" w:rsidR="0071623E" w:rsidRDefault="0071623E">
      <w:pPr>
        <w:ind w:left="2160" w:firstLine="720"/>
        <w:rPr>
          <w:b/>
          <w:sz w:val="32"/>
          <w:szCs w:val="32"/>
        </w:rPr>
      </w:pPr>
    </w:p>
    <w:p w14:paraId="7FE88A56" w14:textId="77777777" w:rsidR="0071623E" w:rsidRDefault="0071623E">
      <w:pPr>
        <w:ind w:left="2160" w:firstLine="720"/>
        <w:rPr>
          <w:b/>
          <w:sz w:val="32"/>
          <w:szCs w:val="32"/>
        </w:rPr>
      </w:pPr>
    </w:p>
    <w:p w14:paraId="171009CB" w14:textId="77777777" w:rsidR="0071623E" w:rsidRDefault="00000000">
      <w:pPr>
        <w:numPr>
          <w:ilvl w:val="0"/>
          <w:numId w:val="1"/>
        </w:numPr>
        <w:pBdr>
          <w:top w:val="nil"/>
          <w:left w:val="nil"/>
          <w:bottom w:val="nil"/>
          <w:right w:val="nil"/>
          <w:between w:val="nil"/>
        </w:pBdr>
        <w:spacing w:after="0"/>
        <w:rPr>
          <w:b/>
          <w:sz w:val="26"/>
          <w:szCs w:val="26"/>
        </w:rPr>
      </w:pPr>
      <w:r>
        <w:rPr>
          <w:b/>
          <w:color w:val="000000"/>
          <w:sz w:val="26"/>
          <w:szCs w:val="26"/>
        </w:rPr>
        <w:t>Redegør for de</w:t>
      </w:r>
      <w:r>
        <w:rPr>
          <w:b/>
          <w:sz w:val="26"/>
          <w:szCs w:val="26"/>
        </w:rPr>
        <w:t xml:space="preserve"> tre velfærdsmodeller med inddragelse af velfærdstrekanten</w:t>
      </w:r>
    </w:p>
    <w:p w14:paraId="5D5470A9" w14:textId="77777777" w:rsidR="0071623E" w:rsidRDefault="00000000">
      <w:pPr>
        <w:numPr>
          <w:ilvl w:val="0"/>
          <w:numId w:val="1"/>
        </w:numPr>
        <w:pBdr>
          <w:top w:val="nil"/>
          <w:left w:val="nil"/>
          <w:bottom w:val="nil"/>
          <w:right w:val="nil"/>
          <w:between w:val="nil"/>
        </w:pBdr>
        <w:spacing w:after="0"/>
        <w:rPr>
          <w:b/>
          <w:sz w:val="26"/>
          <w:szCs w:val="26"/>
        </w:rPr>
      </w:pPr>
      <w:r>
        <w:rPr>
          <w:b/>
          <w:color w:val="000000"/>
          <w:sz w:val="26"/>
          <w:szCs w:val="26"/>
        </w:rPr>
        <w:t>Undersøg hvilke udfordringer den danske velfærdsstat står overfor ifølge bilag 1 og 2.</w:t>
      </w:r>
    </w:p>
    <w:p w14:paraId="0B72DAEA" w14:textId="77777777" w:rsidR="0071623E" w:rsidRDefault="00000000">
      <w:pPr>
        <w:numPr>
          <w:ilvl w:val="0"/>
          <w:numId w:val="1"/>
        </w:numPr>
        <w:pBdr>
          <w:top w:val="nil"/>
          <w:left w:val="nil"/>
          <w:bottom w:val="nil"/>
          <w:right w:val="nil"/>
          <w:between w:val="nil"/>
        </w:pBdr>
        <w:rPr>
          <w:b/>
          <w:sz w:val="26"/>
          <w:szCs w:val="26"/>
        </w:rPr>
      </w:pPr>
      <w:r>
        <w:rPr>
          <w:b/>
          <w:sz w:val="26"/>
          <w:szCs w:val="26"/>
        </w:rPr>
        <w:t>Diskuter hvordan man kan løse udfordringen med manglende hænder i ældreplejen, og vurdér</w:t>
      </w:r>
      <w:r>
        <w:rPr>
          <w:b/>
          <w:color w:val="000000"/>
          <w:sz w:val="26"/>
          <w:szCs w:val="26"/>
        </w:rPr>
        <w:t xml:space="preserve"> hvilken betydning det kan få for den universelle velfærds</w:t>
      </w:r>
      <w:r>
        <w:rPr>
          <w:b/>
          <w:sz w:val="26"/>
          <w:szCs w:val="26"/>
        </w:rPr>
        <w:t>model</w:t>
      </w:r>
      <w:r>
        <w:rPr>
          <w:b/>
          <w:color w:val="000000"/>
          <w:sz w:val="26"/>
          <w:szCs w:val="26"/>
        </w:rPr>
        <w:t xml:space="preserve"> i Danmark, hvis pårørende skal bidrage mere i ældreplejen. </w:t>
      </w:r>
    </w:p>
    <w:p w14:paraId="5044FC7A" w14:textId="77777777" w:rsidR="0071623E" w:rsidRDefault="0071623E"/>
    <w:p w14:paraId="0196BA60" w14:textId="77777777" w:rsidR="0071623E" w:rsidRDefault="0071623E">
      <w:pPr>
        <w:rPr>
          <w:b/>
        </w:rPr>
      </w:pPr>
    </w:p>
    <w:p w14:paraId="0E78B77D" w14:textId="77777777" w:rsidR="0071623E" w:rsidRDefault="0071623E">
      <w:pPr>
        <w:rPr>
          <w:b/>
        </w:rPr>
      </w:pPr>
    </w:p>
    <w:p w14:paraId="4823FC3F" w14:textId="77777777" w:rsidR="0071623E" w:rsidRDefault="0071623E">
      <w:pPr>
        <w:rPr>
          <w:b/>
        </w:rPr>
      </w:pPr>
    </w:p>
    <w:p w14:paraId="2790C6F5" w14:textId="77777777" w:rsidR="0071623E" w:rsidRDefault="00000000">
      <w:pPr>
        <w:rPr>
          <w:b/>
        </w:rPr>
      </w:pPr>
      <w:r>
        <w:rPr>
          <w:b/>
        </w:rPr>
        <w:t>Bilagsmateriale:</w:t>
      </w:r>
    </w:p>
    <w:p w14:paraId="782D5A80" w14:textId="77777777" w:rsidR="0071623E" w:rsidRDefault="00000000">
      <w:pPr>
        <w:pBdr>
          <w:top w:val="nil"/>
          <w:left w:val="nil"/>
          <w:bottom w:val="nil"/>
          <w:right w:val="nil"/>
          <w:between w:val="nil"/>
        </w:pBdr>
        <w:spacing w:after="0"/>
        <w:rPr>
          <w:color w:val="000000"/>
        </w:rPr>
      </w:pPr>
      <w:r>
        <w:t xml:space="preserve">Bilag 1: </w:t>
      </w:r>
      <w:r>
        <w:rPr>
          <w:color w:val="000000"/>
        </w:rPr>
        <w:t xml:space="preserve">Manglen på hænder i ældreplejen kan skabe »dyster fremtid« – S-borgmestre vil overlade ansvar for omsorg til pårørende (uddrag). </w:t>
      </w:r>
      <w:r>
        <w:t xml:space="preserve">H.S. Andersen i Berlingske </w:t>
      </w:r>
      <w:r>
        <w:rPr>
          <w:color w:val="000000"/>
        </w:rPr>
        <w:t>d. 16. januar 2022</w:t>
      </w:r>
    </w:p>
    <w:p w14:paraId="7EF5D4DC" w14:textId="77777777" w:rsidR="0071623E" w:rsidRDefault="00000000">
      <w:pPr>
        <w:pBdr>
          <w:top w:val="nil"/>
          <w:left w:val="nil"/>
          <w:bottom w:val="nil"/>
          <w:right w:val="nil"/>
          <w:between w:val="nil"/>
        </w:pBdr>
      </w:pPr>
      <w:r>
        <w:t>Bilag 2: Figur af “Forventet udvikling i antallet af personer på 65 år + og personer på 80 år +”, 2010-2060. Danmarks Statistik i F.T 2023.</w:t>
      </w:r>
    </w:p>
    <w:p w14:paraId="37F3FF92" w14:textId="77777777" w:rsidR="0071623E" w:rsidRDefault="0071623E">
      <w:pPr>
        <w:spacing w:before="345" w:after="375"/>
      </w:pPr>
    </w:p>
    <w:p w14:paraId="26A0636D" w14:textId="77777777" w:rsidR="0071623E" w:rsidRDefault="0071623E">
      <w:pPr>
        <w:spacing w:before="345" w:after="375"/>
      </w:pPr>
    </w:p>
    <w:p w14:paraId="721308D6" w14:textId="77777777" w:rsidR="0071623E" w:rsidRDefault="0071623E">
      <w:pPr>
        <w:spacing w:before="345" w:after="375"/>
      </w:pPr>
    </w:p>
    <w:p w14:paraId="5F46FB71" w14:textId="77777777" w:rsidR="0071623E" w:rsidRDefault="0071623E">
      <w:pPr>
        <w:spacing w:before="345" w:after="375"/>
      </w:pPr>
    </w:p>
    <w:p w14:paraId="41290813" w14:textId="77777777" w:rsidR="0071623E" w:rsidRDefault="0071623E">
      <w:pPr>
        <w:spacing w:before="345" w:after="375"/>
      </w:pPr>
    </w:p>
    <w:p w14:paraId="5E279B90" w14:textId="77777777" w:rsidR="0071623E" w:rsidRDefault="0071623E">
      <w:pPr>
        <w:spacing w:before="345" w:after="375"/>
        <w:rPr>
          <w:rFonts w:ascii="Georgia" w:eastAsia="Georgia" w:hAnsi="Georgia" w:cs="Georgia"/>
          <w:b/>
          <w:color w:val="333333"/>
          <w:sz w:val="32"/>
          <w:szCs w:val="32"/>
        </w:rPr>
      </w:pPr>
    </w:p>
    <w:p w14:paraId="3087DB46" w14:textId="77777777" w:rsidR="0071623E" w:rsidRDefault="00000000">
      <w:pPr>
        <w:spacing w:before="345" w:after="375"/>
        <w:rPr>
          <w:rFonts w:ascii="Georgia" w:eastAsia="Georgia" w:hAnsi="Georgia" w:cs="Georgia"/>
          <w:b/>
          <w:color w:val="333333"/>
          <w:sz w:val="32"/>
          <w:szCs w:val="32"/>
        </w:rPr>
      </w:pPr>
      <w:r>
        <w:rPr>
          <w:rFonts w:ascii="Georgia" w:eastAsia="Georgia" w:hAnsi="Georgia" w:cs="Georgia"/>
          <w:b/>
          <w:color w:val="333333"/>
          <w:sz w:val="32"/>
          <w:szCs w:val="32"/>
        </w:rPr>
        <w:lastRenderedPageBreak/>
        <w:t>Bilag 1</w:t>
      </w:r>
    </w:p>
    <w:p w14:paraId="66F3DED9" w14:textId="77777777" w:rsidR="0071623E" w:rsidRDefault="00000000">
      <w:pPr>
        <w:spacing w:before="345" w:after="375"/>
        <w:rPr>
          <w:rFonts w:ascii="Georgia" w:eastAsia="Georgia" w:hAnsi="Georgia" w:cs="Georgia"/>
          <w:b/>
          <w:color w:val="333333"/>
          <w:sz w:val="28"/>
          <w:szCs w:val="28"/>
        </w:rPr>
      </w:pPr>
      <w:r>
        <w:rPr>
          <w:rFonts w:ascii="Georgia" w:eastAsia="Georgia" w:hAnsi="Georgia" w:cs="Georgia"/>
          <w:b/>
          <w:color w:val="333333"/>
          <w:sz w:val="28"/>
          <w:szCs w:val="28"/>
        </w:rPr>
        <w:t>Manglen på hænder i ældreplejen kan skabe »dyster fremtid« – S-borgmestre vil overlade ansvar for omsorg til pårørende</w:t>
      </w:r>
    </w:p>
    <w:p w14:paraId="34B9238B" w14:textId="77777777" w:rsidR="0071623E" w:rsidRDefault="00000000">
      <w:pPr>
        <w:spacing w:after="600"/>
        <w:rPr>
          <w:rFonts w:ascii="Georgia" w:eastAsia="Georgia" w:hAnsi="Georgia" w:cs="Georgia"/>
          <w:color w:val="333333"/>
        </w:rPr>
      </w:pPr>
      <w:r>
        <w:rPr>
          <w:rFonts w:ascii="Georgia" w:eastAsia="Georgia" w:hAnsi="Georgia" w:cs="Georgia"/>
          <w:color w:val="333333"/>
        </w:rPr>
        <w:t>Der er behov for en større diskussion om, hvad ældre borgere skal tilbydes i den offentlige ældrepleje. Sådan lyder det fra en række socialdemokratiske borgmestre, der er nervøse ved udsigten til omfattende mangel på kvalificeret arbejdskraft i ældreplejen.</w:t>
      </w:r>
    </w:p>
    <w:p w14:paraId="3D9556E0" w14:textId="77777777" w:rsidR="0071623E" w:rsidRDefault="00000000">
      <w:pPr>
        <w:spacing w:after="0" w:line="240" w:lineRule="auto"/>
        <w:rPr>
          <w:rFonts w:ascii="Sanomat Sans Web" w:eastAsia="Sanomat Sans Web" w:hAnsi="Sanomat Sans Web" w:cs="Sanomat Sans Web"/>
          <w:color w:val="000000"/>
        </w:rPr>
      </w:pPr>
      <w:r>
        <w:rPr>
          <w:rFonts w:ascii="Sanomat Sans Web" w:eastAsia="Sanomat Sans Web" w:hAnsi="Sanomat Sans Web" w:cs="Sanomat Sans Web"/>
          <w:noProof/>
          <w:color w:val="000000"/>
        </w:rPr>
        <w:drawing>
          <wp:inline distT="0" distB="0" distL="0" distR="0" wp14:anchorId="1A04DFDA" wp14:editId="480C65CB">
            <wp:extent cx="5258753" cy="3078728"/>
            <wp:effectExtent l="0" t="0" r="0" b="0"/>
            <wp:docPr id="2" name="image1.jpg" descr="Et billede, der indeholder person, indendørs, personer&#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jpg" descr="Et billede, der indeholder person, indendørs, personer&#10;&#10;Automatisk genereret beskrivelse"/>
                    <pic:cNvPicPr preferRelativeResize="0"/>
                  </pic:nvPicPr>
                  <pic:blipFill>
                    <a:blip r:embed="rId8"/>
                    <a:srcRect/>
                    <a:stretch>
                      <a:fillRect/>
                    </a:stretch>
                  </pic:blipFill>
                  <pic:spPr>
                    <a:xfrm>
                      <a:off x="0" y="0"/>
                      <a:ext cx="5258753" cy="3078728"/>
                    </a:xfrm>
                    <a:prstGeom prst="rect">
                      <a:avLst/>
                    </a:prstGeom>
                    <a:ln/>
                  </pic:spPr>
                </pic:pic>
              </a:graphicData>
            </a:graphic>
          </wp:inline>
        </w:drawing>
      </w:r>
    </w:p>
    <w:p w14:paraId="25329EE0" w14:textId="77777777" w:rsidR="0071623E" w:rsidRDefault="00000000">
      <w:pPr>
        <w:spacing w:after="0" w:line="240" w:lineRule="auto"/>
        <w:rPr>
          <w:rFonts w:ascii="Sanomat Sans Web" w:eastAsia="Sanomat Sans Web" w:hAnsi="Sanomat Sans Web" w:cs="Sanomat Sans Web"/>
          <w:color w:val="000000"/>
          <w:sz w:val="20"/>
          <w:szCs w:val="20"/>
        </w:rPr>
      </w:pPr>
      <w:r>
        <w:rPr>
          <w:rFonts w:ascii="Sanomat Sans Web" w:eastAsia="Sanomat Sans Web" w:hAnsi="Sanomat Sans Web" w:cs="Sanomat Sans Web"/>
          <w:color w:val="000000"/>
          <w:sz w:val="20"/>
          <w:szCs w:val="20"/>
        </w:rPr>
        <w:t>Frem mod 2030 vil komme yderligere 160.000 flere borgere over 80 år i Danmark. Ifølge Fagforbundet FOA er hver tredje social- og sundhedsansat i dag fyldt 55 år og har derfor snart mulighed for at trække sig tilbage fra arbejdsmarkedet. Der er derfor behov for at tiltrække flere end 42.000 ansatte inden for SOSU-området for at holde trit med udviklingen.</w:t>
      </w:r>
    </w:p>
    <w:p w14:paraId="2205C680" w14:textId="77777777" w:rsidR="0071623E" w:rsidRDefault="00000000">
      <w:pPr>
        <w:spacing w:after="0" w:line="240" w:lineRule="auto"/>
        <w:rPr>
          <w:rFonts w:ascii="Sanomat Sans Web" w:eastAsia="Sanomat Sans Web" w:hAnsi="Sanomat Sans Web" w:cs="Sanomat Sans Web"/>
          <w:color w:val="000000"/>
          <w:sz w:val="20"/>
          <w:szCs w:val="20"/>
        </w:rPr>
      </w:pPr>
      <w:r>
        <w:rPr>
          <w:rFonts w:ascii="Sanomat Sans Web" w:eastAsia="Sanomat Sans Web" w:hAnsi="Sanomat Sans Web" w:cs="Sanomat Sans Web"/>
          <w:i/>
          <w:color w:val="000000"/>
          <w:sz w:val="20"/>
          <w:szCs w:val="20"/>
        </w:rPr>
        <w:t>Foto: Torkil Adsersen</w:t>
      </w:r>
    </w:p>
    <w:p w14:paraId="529CEF25" w14:textId="77777777" w:rsidR="0071623E" w:rsidRDefault="0071623E">
      <w:pPr>
        <w:spacing w:after="315"/>
        <w:rPr>
          <w:rFonts w:ascii="Georgia" w:eastAsia="Georgia" w:hAnsi="Georgia" w:cs="Georgia"/>
          <w:color w:val="333333"/>
        </w:rPr>
      </w:pPr>
    </w:p>
    <w:p w14:paraId="698F45B1" w14:textId="77777777" w:rsidR="0071623E" w:rsidRDefault="00000000">
      <w:pPr>
        <w:spacing w:after="315"/>
        <w:rPr>
          <w:rFonts w:ascii="Georgia" w:eastAsia="Georgia" w:hAnsi="Georgia" w:cs="Georgia"/>
          <w:color w:val="333333"/>
        </w:rPr>
      </w:pPr>
      <w:r>
        <w:rPr>
          <w:rFonts w:ascii="Georgia" w:eastAsia="Georgia" w:hAnsi="Georgia" w:cs="Georgia"/>
          <w:color w:val="333333"/>
        </w:rPr>
        <w:t>I fremtiden vil børn, pårørende og frivillige skulle varetage langt flere opgaver på landets plejehjem. Det praktiske med bad, mad og pleje skal kommunen nok stå for, mens den nære omsorg med samtale, gåture og hygge skal overtages af venner og familie.</w:t>
      </w:r>
    </w:p>
    <w:p w14:paraId="38717CAE" w14:textId="77777777" w:rsidR="0071623E" w:rsidRDefault="00000000">
      <w:pPr>
        <w:spacing w:after="315"/>
        <w:rPr>
          <w:rFonts w:ascii="Georgia" w:eastAsia="Georgia" w:hAnsi="Georgia" w:cs="Georgia"/>
          <w:color w:val="333333"/>
        </w:rPr>
      </w:pPr>
      <w:r>
        <w:rPr>
          <w:rFonts w:ascii="Georgia" w:eastAsia="Georgia" w:hAnsi="Georgia" w:cs="Georgia"/>
          <w:color w:val="333333"/>
        </w:rPr>
        <w:t>Sådan lyder det fra socialdemokratiske borgmestre, der efterlyser en større debat om, hvordan vi skal indrette fremtidens ældrepleje i en tid, hvor forventningerne stiger, mens antallet af hænder ikke følger med.</w:t>
      </w:r>
    </w:p>
    <w:p w14:paraId="74C8EFD5" w14:textId="77777777" w:rsidR="0071623E" w:rsidRDefault="00000000">
      <w:pPr>
        <w:spacing w:after="315"/>
        <w:rPr>
          <w:rFonts w:ascii="Georgia" w:eastAsia="Georgia" w:hAnsi="Georgia" w:cs="Georgia"/>
          <w:color w:val="333333"/>
        </w:rPr>
      </w:pPr>
      <w:r>
        <w:rPr>
          <w:rFonts w:ascii="Georgia" w:eastAsia="Georgia" w:hAnsi="Georgia" w:cs="Georgia"/>
          <w:color w:val="333333"/>
        </w:rPr>
        <w:t>Henning Urban Dam (S), der er borgmester i Stevns Kommune, erkender, at det er en »supersvær« snak – men snakken er ifølge ham nødvendig. For der er behov for en forventningsafstemning med borgerne.</w:t>
      </w:r>
    </w:p>
    <w:p w14:paraId="5BA5A94D" w14:textId="77777777" w:rsidR="0071623E" w:rsidRDefault="00000000">
      <w:pPr>
        <w:spacing w:after="315"/>
        <w:rPr>
          <w:rFonts w:ascii="Georgia" w:eastAsia="Georgia" w:hAnsi="Georgia" w:cs="Georgia"/>
          <w:color w:val="333333"/>
        </w:rPr>
      </w:pPr>
      <w:r>
        <w:rPr>
          <w:rFonts w:ascii="Georgia" w:eastAsia="Georgia" w:hAnsi="Georgia" w:cs="Georgia"/>
          <w:color w:val="333333"/>
        </w:rPr>
        <w:t>»I takt med at vi kommer til at mangle hænder, så bliver vi også nødt til at snakke om, hvad vi kan forvente. For jeg har en oplevelse af, at folk forventer langt mere, end vi kan levere. Som kommune skal vi fremover yde den praktiske hjælp, og så skal vi yde plejen. Men det vi kan kalde for omsorgsdelen og aktivitetsdelen, det er nok ikke der, vi skal bruge vores ressourcer, når situationen er, som den er,« siger Henning Urban Dam.</w:t>
      </w:r>
    </w:p>
    <w:p w14:paraId="7D5CD09A" w14:textId="77777777" w:rsidR="0071623E" w:rsidRDefault="00000000">
      <w:pPr>
        <w:spacing w:after="315"/>
        <w:rPr>
          <w:rFonts w:ascii="Georgia" w:eastAsia="Georgia" w:hAnsi="Georgia" w:cs="Georgia"/>
          <w:color w:val="333333"/>
        </w:rPr>
      </w:pPr>
      <w:r>
        <w:rPr>
          <w:rFonts w:ascii="Georgia" w:eastAsia="Georgia" w:hAnsi="Georgia" w:cs="Georgia"/>
          <w:color w:val="333333"/>
        </w:rPr>
        <w:t>Debatten om fremtidens ældrepleje og mangel på hænder i det offentlige system har længe været et hovedbrud på Christiansborg, men debatten er blevet aktualiseret af navnlig to ting.</w:t>
      </w:r>
    </w:p>
    <w:p w14:paraId="6CBB97C8" w14:textId="77777777" w:rsidR="0071623E" w:rsidRDefault="00000000">
      <w:pPr>
        <w:spacing w:after="315"/>
        <w:rPr>
          <w:rFonts w:ascii="Georgia" w:eastAsia="Georgia" w:hAnsi="Georgia" w:cs="Georgia"/>
          <w:color w:val="333333"/>
        </w:rPr>
      </w:pPr>
      <w:r>
        <w:rPr>
          <w:rFonts w:ascii="Georgia" w:eastAsia="Georgia" w:hAnsi="Georgia" w:cs="Georgia"/>
          <w:color w:val="333333"/>
        </w:rPr>
        <w:t xml:space="preserve">Først lancerede statsminister Mette Frederiksen (S) i sin nytårstale en ny Ældrelov med </w:t>
      </w:r>
      <w:r>
        <w:rPr>
          <w:rFonts w:ascii="Georgia" w:eastAsia="Georgia" w:hAnsi="Georgia" w:cs="Georgia"/>
          <w:color w:val="000000"/>
        </w:rPr>
        <w:t>en </w:t>
      </w:r>
      <w:hyperlink r:id="rId9">
        <w:r>
          <w:rPr>
            <w:rFonts w:ascii="Georgia" w:eastAsia="Georgia" w:hAnsi="Georgia" w:cs="Georgia"/>
            <w:color w:val="000000"/>
          </w:rPr>
          <w:t>omfattende afbureaukratisering i ældreplejen</w:t>
        </w:r>
      </w:hyperlink>
      <w:r>
        <w:rPr>
          <w:rFonts w:ascii="Georgia" w:eastAsia="Georgia" w:hAnsi="Georgia" w:cs="Georgia"/>
          <w:color w:val="000000"/>
        </w:rPr>
        <w:t>, der blandt andet skal frigøre flere hænder, og </w:t>
      </w:r>
      <w:hyperlink r:id="rId10">
        <w:r>
          <w:rPr>
            <w:rFonts w:ascii="Georgia" w:eastAsia="Georgia" w:hAnsi="Georgia" w:cs="Georgia"/>
            <w:color w:val="000000"/>
          </w:rPr>
          <w:t>tidligere i januar fremlagde Kommunernes Landsforening</w:t>
        </w:r>
      </w:hyperlink>
      <w:r>
        <w:rPr>
          <w:rFonts w:ascii="Georgia" w:eastAsia="Georgia" w:hAnsi="Georgia" w:cs="Georgia"/>
          <w:color w:val="000000"/>
        </w:rPr>
        <w:t> en prognose, der viser, at der om otte år vil mangle 90.000 personer</w:t>
      </w:r>
      <w:r>
        <w:rPr>
          <w:rFonts w:ascii="Georgia" w:eastAsia="Georgia" w:hAnsi="Georgia" w:cs="Georgia"/>
          <w:color w:val="333333"/>
        </w:rPr>
        <w:t>, hvis den offentlige service skal forblive uændret og den private vækst fortsætte.</w:t>
      </w:r>
    </w:p>
    <w:p w14:paraId="73BACCF6" w14:textId="77777777" w:rsidR="0071623E" w:rsidRDefault="00000000">
      <w:pPr>
        <w:spacing w:after="315"/>
        <w:rPr>
          <w:rFonts w:ascii="Georgia" w:eastAsia="Georgia" w:hAnsi="Georgia" w:cs="Georgia"/>
          <w:color w:val="333333"/>
        </w:rPr>
      </w:pPr>
      <w:r>
        <w:rPr>
          <w:rFonts w:ascii="Georgia" w:eastAsia="Georgia" w:hAnsi="Georgia" w:cs="Georgia"/>
          <w:color w:val="333333"/>
        </w:rPr>
        <w:t>»Medmindre man vil acceptere en væsentlig reduktion i kvaliteten af vores velfærd, er man nødt til at finde de hænder, der skal til,« </w:t>
      </w:r>
      <w:hyperlink r:id="rId11">
        <w:r>
          <w:rPr>
            <w:rFonts w:ascii="Georgia" w:eastAsia="Georgia" w:hAnsi="Georgia" w:cs="Georgia"/>
            <w:color w:val="000000"/>
          </w:rPr>
          <w:t>lød det i den forbindelse</w:t>
        </w:r>
      </w:hyperlink>
      <w:r>
        <w:rPr>
          <w:rFonts w:ascii="Georgia" w:eastAsia="Georgia" w:hAnsi="Georgia" w:cs="Georgia"/>
          <w:color w:val="000000"/>
        </w:rPr>
        <w:t> </w:t>
      </w:r>
      <w:r>
        <w:rPr>
          <w:rFonts w:ascii="Georgia" w:eastAsia="Georgia" w:hAnsi="Georgia" w:cs="Georgia"/>
          <w:color w:val="333333"/>
        </w:rPr>
        <w:t>fra Aarhus-borgmester Jacob Bundsgaard (S), der er formand for Kommunernes Landsforening.</w:t>
      </w:r>
    </w:p>
    <w:p w14:paraId="6055FC91" w14:textId="77777777" w:rsidR="0071623E" w:rsidRDefault="00000000">
      <w:pPr>
        <w:spacing w:after="315"/>
        <w:rPr>
          <w:rFonts w:ascii="Georgia" w:eastAsia="Georgia" w:hAnsi="Georgia" w:cs="Georgia"/>
          <w:color w:val="333333"/>
        </w:rPr>
      </w:pPr>
      <w:r>
        <w:rPr>
          <w:rFonts w:ascii="Georgia" w:eastAsia="Georgia" w:hAnsi="Georgia" w:cs="Georgia"/>
          <w:color w:val="333333"/>
        </w:rPr>
        <w:t>Selvom der er uforløst potentiale i at afbureaukratisere og indføre nye it-løsninger og velfærdsteknologi, forudser Henning Urban Dam, at det bliver svært at tiltrække de nødvendige medarbejdere til særlig ældreplejen, og derfor vil civilsamfundet skulle løse flere opgaver, siger han.</w:t>
      </w:r>
    </w:p>
    <w:p w14:paraId="5DC7229C" w14:textId="77777777" w:rsidR="0071623E" w:rsidRDefault="00000000">
      <w:pPr>
        <w:spacing w:after="315"/>
        <w:rPr>
          <w:rFonts w:ascii="Georgia" w:eastAsia="Georgia" w:hAnsi="Georgia" w:cs="Georgia"/>
          <w:color w:val="333333"/>
        </w:rPr>
      </w:pPr>
      <w:r>
        <w:rPr>
          <w:rFonts w:ascii="Georgia" w:eastAsia="Georgia" w:hAnsi="Georgia" w:cs="Georgia"/>
          <w:color w:val="333333"/>
        </w:rPr>
        <w:t>»Det er mange af de opgaver, som man laver sammen som familie; at sætte sig ned og spise sammen, tale sammen, at få en oplevelse sammen, læse sammen, gå en tur, alt det, der giver indhold og mening. Det skal vi måske i højere grad overlade til venner, børn og familien,« siger Henning Urban Dam.</w:t>
      </w:r>
    </w:p>
    <w:p w14:paraId="3B87B601" w14:textId="77777777" w:rsidR="0071623E" w:rsidRDefault="0071623E">
      <w:pPr>
        <w:spacing w:after="315"/>
        <w:rPr>
          <w:rFonts w:ascii="Georgia" w:eastAsia="Georgia" w:hAnsi="Georgia" w:cs="Georgia"/>
          <w:color w:val="333333"/>
        </w:rPr>
      </w:pPr>
    </w:p>
    <w:p w14:paraId="605E1D74" w14:textId="77777777" w:rsidR="0071623E" w:rsidRDefault="0071623E">
      <w:pPr>
        <w:spacing w:after="315"/>
        <w:rPr>
          <w:rFonts w:ascii="Georgia" w:eastAsia="Georgia" w:hAnsi="Georgia" w:cs="Georgia"/>
          <w:color w:val="333333"/>
        </w:rPr>
      </w:pPr>
    </w:p>
    <w:p w14:paraId="159CC3DC" w14:textId="77777777" w:rsidR="0071623E" w:rsidRDefault="0071623E">
      <w:pPr>
        <w:spacing w:after="315"/>
        <w:rPr>
          <w:rFonts w:ascii="Georgia" w:eastAsia="Georgia" w:hAnsi="Georgia" w:cs="Georgia"/>
          <w:color w:val="333333"/>
        </w:rPr>
      </w:pPr>
    </w:p>
    <w:p w14:paraId="3A1284CC" w14:textId="77777777" w:rsidR="0071623E" w:rsidRDefault="0071623E"/>
    <w:p w14:paraId="737D5096" w14:textId="77777777" w:rsidR="0071623E" w:rsidRDefault="0071623E"/>
    <w:p w14:paraId="29897976" w14:textId="77777777" w:rsidR="0071623E" w:rsidRDefault="0071623E"/>
    <w:p w14:paraId="1A057E29" w14:textId="77777777" w:rsidR="0071623E" w:rsidRDefault="0071623E"/>
    <w:p w14:paraId="5FC599A6" w14:textId="77777777" w:rsidR="0071623E" w:rsidRDefault="0071623E"/>
    <w:p w14:paraId="3AA45C55" w14:textId="77777777" w:rsidR="0071623E" w:rsidRDefault="0071623E">
      <w:pPr>
        <w:rPr>
          <w:b/>
        </w:rPr>
      </w:pPr>
    </w:p>
    <w:p w14:paraId="4E76F95A" w14:textId="77777777" w:rsidR="0071623E" w:rsidRDefault="00000000">
      <w:r>
        <w:rPr>
          <w:b/>
        </w:rPr>
        <w:t>Bilag 2</w:t>
      </w:r>
      <w:r>
        <w:t xml:space="preserve">: </w:t>
      </w:r>
    </w:p>
    <w:p w14:paraId="4548CEAE" w14:textId="77777777" w:rsidR="0071623E" w:rsidRDefault="00000000">
      <w:pPr>
        <w:rPr>
          <w:rFonts w:ascii="Georgia" w:eastAsia="Georgia" w:hAnsi="Georgia" w:cs="Georgia"/>
          <w:color w:val="333333"/>
        </w:rPr>
      </w:pPr>
      <w:r>
        <w:t>Figur af “Forventet udvikling i antallet af personer på 65 år + og personer på 80 år +”, 2010-2060. Danmarks Statistik.</w:t>
      </w:r>
    </w:p>
    <w:p w14:paraId="152DD303" w14:textId="77777777" w:rsidR="0071623E" w:rsidRDefault="00000000">
      <w:pPr>
        <w:spacing w:after="315"/>
        <w:rPr>
          <w:rFonts w:ascii="Georgia" w:eastAsia="Georgia" w:hAnsi="Georgia" w:cs="Georgia"/>
          <w:color w:val="333333"/>
        </w:rPr>
      </w:pPr>
      <w:r>
        <w:rPr>
          <w:rFonts w:ascii="Georgia" w:eastAsia="Georgia" w:hAnsi="Georgia" w:cs="Georgia"/>
          <w:noProof/>
          <w:color w:val="333333"/>
        </w:rPr>
        <w:drawing>
          <wp:inline distT="114300" distB="114300" distL="114300" distR="114300" wp14:anchorId="1EA9EE0C" wp14:editId="781DF8E7">
            <wp:extent cx="6668453" cy="5676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668453" cy="5676900"/>
                    </a:xfrm>
                    <a:prstGeom prst="rect">
                      <a:avLst/>
                    </a:prstGeom>
                    <a:ln/>
                  </pic:spPr>
                </pic:pic>
              </a:graphicData>
            </a:graphic>
          </wp:inline>
        </w:drawing>
      </w:r>
    </w:p>
    <w:sectPr w:rsidR="0071623E">
      <w:headerReference w:type="first" r:id="rId13"/>
      <w:footerReference w:type="first" r:id="rId14"/>
      <w:pgSz w:w="11906" w:h="16838"/>
      <w:pgMar w:top="1701" w:right="1134" w:bottom="1701" w:left="1134" w:header="566" w:footer="56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4B12" w14:textId="77777777" w:rsidR="00B06A41" w:rsidRDefault="00B06A41">
      <w:pPr>
        <w:spacing w:after="0" w:line="240" w:lineRule="auto"/>
      </w:pPr>
      <w:r>
        <w:separator/>
      </w:r>
    </w:p>
  </w:endnote>
  <w:endnote w:type="continuationSeparator" w:id="0">
    <w:p w14:paraId="2B819C80" w14:textId="77777777" w:rsidR="00B06A41" w:rsidRDefault="00B0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omat Sans Web">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4A1C" w14:textId="77777777" w:rsidR="0071623E" w:rsidRDefault="00716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B89" w14:textId="77777777" w:rsidR="00B06A41" w:rsidRDefault="00B06A41">
      <w:pPr>
        <w:spacing w:after="0" w:line="240" w:lineRule="auto"/>
      </w:pPr>
      <w:r>
        <w:separator/>
      </w:r>
    </w:p>
  </w:footnote>
  <w:footnote w:type="continuationSeparator" w:id="0">
    <w:p w14:paraId="11E77C10" w14:textId="77777777" w:rsidR="00B06A41" w:rsidRDefault="00B0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4887" w14:textId="77777777" w:rsidR="0071623E" w:rsidRDefault="007162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55319"/>
    <w:multiLevelType w:val="multilevel"/>
    <w:tmpl w:val="4972F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521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3E"/>
    <w:rsid w:val="00084F17"/>
    <w:rsid w:val="002817BF"/>
    <w:rsid w:val="003A5217"/>
    <w:rsid w:val="0071623E"/>
    <w:rsid w:val="00B06A41"/>
    <w:rsid w:val="00CA04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A64E"/>
  <w15:docId w15:val="{A0BF4FBA-7A33-4003-912C-62E482FF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line="240" w:lineRule="auto"/>
      <w:outlineLvl w:val="0"/>
    </w:pPr>
    <w:rPr>
      <w:b/>
      <w:sz w:val="48"/>
      <w:szCs w:val="48"/>
    </w:rPr>
  </w:style>
  <w:style w:type="paragraph" w:styleId="Overskrift2">
    <w:name w:val="heading 2"/>
    <w:basedOn w:val="Normal"/>
    <w:next w:val="Normal"/>
    <w:uiPriority w:val="9"/>
    <w:semiHidden/>
    <w:unhideWhenUsed/>
    <w:qFormat/>
    <w:pPr>
      <w:spacing w:line="240" w:lineRule="auto"/>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gske.dk/oekonomi/ny-analyse-mangel-paa-arbejdskraft-koster-det-danske-samfund-et-tocifr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lingske.dk/analyse-og-perspektiv/magtfuld-s-borgmester-sender-noedraab-direkte-til" TargetMode="External"/><Relationship Id="rId4" Type="http://schemas.openxmlformats.org/officeDocument/2006/relationships/settings" Target="settings.xml"/><Relationship Id="rId9" Type="http://schemas.openxmlformats.org/officeDocument/2006/relationships/hyperlink" Target="https://www.berlingske.dk/politik/trods-statsministerens-loefte-om-at-fjerne-regulering-i-aeldreplejen-v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0wbeHaCbZmUxoXHf10oki2PB7Q==">CgMxLjA4AHIhMVRSOFFuUmVzbXRzdllOc1JBcnVtd2FFRFVlemRiNEFq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3936</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Andreas Höfer Petersen</cp:lastModifiedBy>
  <cp:revision>2</cp:revision>
  <dcterms:created xsi:type="dcterms:W3CDTF">2024-12-11T08:42:00Z</dcterms:created>
  <dcterms:modified xsi:type="dcterms:W3CDTF">2024-12-11T08:42:00Z</dcterms:modified>
</cp:coreProperties>
</file>