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CE41" w14:textId="2539F1D9" w:rsidR="00B67E1E" w:rsidRPr="003C280A" w:rsidRDefault="00C01848">
      <w:pPr>
        <w:rPr>
          <w:b/>
          <w:bCs/>
          <w:sz w:val="28"/>
          <w:szCs w:val="28"/>
        </w:rPr>
      </w:pPr>
      <w:r w:rsidRPr="003C280A">
        <w:rPr>
          <w:b/>
          <w:bCs/>
          <w:sz w:val="28"/>
          <w:szCs w:val="28"/>
        </w:rPr>
        <w:t>Læringsmål for volleyball og teamsamarbejde</w:t>
      </w:r>
    </w:p>
    <w:p w14:paraId="03BF5CAA" w14:textId="645BAAD9" w:rsidR="00C01848" w:rsidRPr="003C280A" w:rsidRDefault="00C01848">
      <w:pPr>
        <w:rPr>
          <w:i/>
          <w:iCs/>
          <w:sz w:val="28"/>
          <w:szCs w:val="28"/>
        </w:rPr>
      </w:pPr>
      <w:r w:rsidRPr="003C280A">
        <w:rPr>
          <w:i/>
          <w:iCs/>
          <w:sz w:val="28"/>
          <w:szCs w:val="28"/>
        </w:rPr>
        <w:t>Hvad man skal kunne og bliver bedømt</w:t>
      </w:r>
      <w:r w:rsidR="003C280A">
        <w:rPr>
          <w:i/>
          <w:iCs/>
          <w:sz w:val="28"/>
          <w:szCs w:val="28"/>
        </w:rPr>
        <w:t xml:space="preserve"> </w:t>
      </w:r>
      <w:r w:rsidRPr="003C280A">
        <w:rPr>
          <w:i/>
          <w:iCs/>
          <w:sz w:val="28"/>
          <w:szCs w:val="28"/>
        </w:rPr>
        <w:t>på.</w:t>
      </w:r>
    </w:p>
    <w:p w14:paraId="74AEC0AE" w14:textId="77777777" w:rsidR="00C01848" w:rsidRPr="00C01848" w:rsidRDefault="00C01848" w:rsidP="00C0184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inherit" w:eastAsia="Times New Roman" w:hAnsi="inherit" w:cs="Times New Roman"/>
          <w:i/>
          <w:iCs/>
          <w:color w:val="202020"/>
          <w:kern w:val="0"/>
          <w:sz w:val="26"/>
          <w:szCs w:val="26"/>
          <w:bdr w:val="none" w:sz="0" w:space="0" w:color="auto" w:frame="1"/>
          <w:lang w:eastAsia="da-DK"/>
          <w14:ligatures w14:val="none"/>
        </w:rPr>
        <w:t>Praktisk:</w:t>
      </w:r>
    </w:p>
    <w:p w14:paraId="6F22CCD1" w14:textId="378A62D9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 xml:space="preserve">Fingerslag hvor bolden spilles over panden, armene går fra bøjet til strakt, fingrene går fra “skål til </w:t>
      </w:r>
      <w:r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strakte</w:t>
      </w: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” og bolden får en fart, retning og bane som gør det muligt at spille videre på en fornuftig måde.</w:t>
      </w:r>
    </w:p>
    <w:p w14:paraId="251866A3" w14:textId="77777777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Baggerslag med en god stabil spilleplade, som gør det muligt efterfølgende at spille videre på slaget på en fornuftig måde.</w:t>
      </w:r>
    </w:p>
    <w:p w14:paraId="342646AB" w14:textId="77777777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Angreb med fokus på to-bens-afsæt, og at bolden slås over nettet med en hånd.</w:t>
      </w:r>
    </w:p>
    <w:p w14:paraId="3B71E497" w14:textId="283757F3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Underhåndsserv med strakt arm, der bevidst kan placeres fornuftigt på modstanderes bane</w:t>
      </w:r>
      <w:r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.</w:t>
      </w:r>
    </w:p>
    <w:p w14:paraId="1B5B3FDC" w14:textId="77777777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Kendskab til og forståelse for de basale regler og rotationssystemet.</w:t>
      </w:r>
    </w:p>
    <w:p w14:paraId="16ADADF2" w14:textId="77777777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Generel evne til at placere sig selv og bolden fornuftigt på banen.</w:t>
      </w:r>
    </w:p>
    <w:p w14:paraId="1FF6DA48" w14:textId="77777777" w:rsidR="00C01848" w:rsidRPr="00C01848" w:rsidRDefault="00C01848" w:rsidP="00C0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Være en god holdspiller der kommunikerer med holdkammeraterne på en konstruktiv måde både taktisk og emotionelt jf. teori om teamudvikling og roller.</w:t>
      </w:r>
    </w:p>
    <w:p w14:paraId="5C20CCED" w14:textId="77777777" w:rsidR="00C01848" w:rsidRPr="00C01848" w:rsidRDefault="00C01848" w:rsidP="00C0184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inherit" w:eastAsia="Times New Roman" w:hAnsi="inherit" w:cs="Times New Roman"/>
          <w:i/>
          <w:iCs/>
          <w:color w:val="202020"/>
          <w:kern w:val="0"/>
          <w:sz w:val="26"/>
          <w:szCs w:val="26"/>
          <w:bdr w:val="none" w:sz="0" w:space="0" w:color="auto" w:frame="1"/>
          <w:lang w:eastAsia="da-DK"/>
          <w14:ligatures w14:val="none"/>
        </w:rPr>
        <w:t>Teoretisk:</w:t>
      </w:r>
    </w:p>
    <w:p w14:paraId="716298F4" w14:textId="77777777" w:rsidR="00C01848" w:rsidRPr="00C01848" w:rsidRDefault="00C01848" w:rsidP="00C0184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At kunne redegøre for og analysere spillet og holdet med teamudviklingsteori. Særligt fokus på begreberne:</w:t>
      </w:r>
    </w:p>
    <w:p w14:paraId="210B729C" w14:textId="77777777" w:rsidR="00C01848" w:rsidRDefault="00C01848" w:rsidP="00C01848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 xml:space="preserve">Formelle og uformelle roller (på et volleyballhold). </w:t>
      </w:r>
    </w:p>
    <w:p w14:paraId="6E92C851" w14:textId="603372A3" w:rsidR="00C01848" w:rsidRPr="00C01848" w:rsidRDefault="00C01848" w:rsidP="00C01848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Social</w:t>
      </w:r>
      <w:r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 xml:space="preserve">- </w:t>
      </w: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og opgavekohæsion.</w:t>
      </w:r>
    </w:p>
    <w:p w14:paraId="13502523" w14:textId="77777777" w:rsidR="00C01848" w:rsidRDefault="00C01848" w:rsidP="00C0184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 xml:space="preserve">Synergieffekt (procesgevinst og procestab). </w:t>
      </w:r>
    </w:p>
    <w:p w14:paraId="7F9C5B27" w14:textId="3CF011CD" w:rsidR="00C01848" w:rsidRPr="00C01848" w:rsidRDefault="00C01848" w:rsidP="00C0184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</w:pPr>
      <w:r w:rsidRPr="00C01848"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Relationelle færdigheder</w:t>
      </w:r>
      <w:r>
        <w:rPr>
          <w:rFonts w:ascii="Nunito" w:eastAsia="Times New Roman" w:hAnsi="Nunito" w:cs="Times New Roman"/>
          <w:color w:val="202020"/>
          <w:kern w:val="0"/>
          <w:sz w:val="26"/>
          <w:szCs w:val="26"/>
          <w:lang w:eastAsia="da-DK"/>
          <w14:ligatures w14:val="none"/>
        </w:rPr>
        <w:t>.</w:t>
      </w:r>
    </w:p>
    <w:sectPr w:rsidR="00C01848" w:rsidRPr="00C01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7A3"/>
    <w:multiLevelType w:val="multilevel"/>
    <w:tmpl w:val="307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9732C"/>
    <w:multiLevelType w:val="multilevel"/>
    <w:tmpl w:val="496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23448">
    <w:abstractNumId w:val="1"/>
  </w:num>
  <w:num w:numId="2" w16cid:durableId="177932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48"/>
    <w:rsid w:val="003C280A"/>
    <w:rsid w:val="009D0917"/>
    <w:rsid w:val="00B67E1E"/>
    <w:rsid w:val="00C0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05C6"/>
  <w15:chartTrackingRefBased/>
  <w15:docId w15:val="{3F46B97D-7BDF-4B1C-9CBA-5173E14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C01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</cp:revision>
  <dcterms:created xsi:type="dcterms:W3CDTF">2024-02-26T08:47:00Z</dcterms:created>
  <dcterms:modified xsi:type="dcterms:W3CDTF">2024-02-27T08:20:00Z</dcterms:modified>
</cp:coreProperties>
</file>