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C646" w14:textId="77777777" w:rsidR="004810B3" w:rsidRPr="009A4247" w:rsidRDefault="004810B3" w:rsidP="006C47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66"/>
        <w:gridCol w:w="4062"/>
      </w:tblGrid>
      <w:tr w:rsidR="00CB1040" w14:paraId="1438719C" w14:textId="2157AE17" w:rsidTr="00425F58">
        <w:tc>
          <w:tcPr>
            <w:tcW w:w="9628" w:type="dxa"/>
            <w:gridSpan w:val="2"/>
          </w:tcPr>
          <w:p w14:paraId="5880C693" w14:textId="77777777" w:rsidR="00CB1040" w:rsidRPr="00CB1040" w:rsidRDefault="00CB1040" w:rsidP="006C4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40">
              <w:rPr>
                <w:rFonts w:ascii="Times New Roman" w:hAnsi="Times New Roman" w:cs="Times New Roman"/>
                <w:b/>
                <w:sz w:val="28"/>
                <w:szCs w:val="28"/>
              </w:rPr>
              <w:t>Barokken (motivkreds og Kingo)</w:t>
            </w:r>
          </w:p>
          <w:p w14:paraId="3BBE5C82" w14:textId="101EA475" w:rsidR="00CB1040" w:rsidRDefault="00B52AD6" w:rsidP="006C4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LV s. 91-100</w:t>
            </w:r>
          </w:p>
        </w:tc>
      </w:tr>
      <w:tr w:rsidR="00CB1040" w14:paraId="2F28265B" w14:textId="49627A7F" w:rsidTr="00CB1040">
        <w:tc>
          <w:tcPr>
            <w:tcW w:w="5566" w:type="dxa"/>
          </w:tcPr>
          <w:p w14:paraId="546B3048" w14:textId="77777777" w:rsidR="00CB1040" w:rsidRPr="00CF6464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64">
              <w:rPr>
                <w:rFonts w:ascii="Times New Roman" w:hAnsi="Times New Roman" w:cs="Times New Roman"/>
                <w:sz w:val="24"/>
                <w:szCs w:val="24"/>
              </w:rPr>
              <w:t>Forklar ”vanitas – barokkens grundmotiv”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(herunder også begrebet ’allegori’)</w:t>
            </w:r>
          </w:p>
        </w:tc>
        <w:tc>
          <w:tcPr>
            <w:tcW w:w="4062" w:type="dxa"/>
          </w:tcPr>
          <w:p w14:paraId="62022B0F" w14:textId="77777777" w:rsidR="00CB1040" w:rsidRPr="00CF6464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62B3DA4D" w14:textId="7F68475A" w:rsidTr="00CB1040">
        <w:tc>
          <w:tcPr>
            <w:tcW w:w="5566" w:type="dxa"/>
          </w:tcPr>
          <w:p w14:paraId="32542FA0" w14:textId="77777777" w:rsidR="00CB1040" w:rsidRPr="00CF6464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Uddyb begreberne forgængelighed og forfængelighed</w:t>
            </w:r>
          </w:p>
        </w:tc>
        <w:tc>
          <w:tcPr>
            <w:tcW w:w="4062" w:type="dxa"/>
          </w:tcPr>
          <w:p w14:paraId="5E8636E3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7F665848" w14:textId="34DF3511" w:rsidTr="00CB1040">
        <w:tc>
          <w:tcPr>
            <w:tcW w:w="5566" w:type="dxa"/>
          </w:tcPr>
          <w:p w14:paraId="28CA9943" w14:textId="77777777" w:rsidR="00CB1040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hvilke andre sproglige sammenhænge kan vi spore ordet ’vanitas’ i dag? (i ordets bogstaveligste forstand).</w:t>
            </w:r>
          </w:p>
        </w:tc>
        <w:tc>
          <w:tcPr>
            <w:tcW w:w="4062" w:type="dxa"/>
          </w:tcPr>
          <w:p w14:paraId="720392B5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39531211" w14:textId="45409799" w:rsidTr="00CB1040">
        <w:tc>
          <w:tcPr>
            <w:tcW w:w="5566" w:type="dxa"/>
          </w:tcPr>
          <w:p w14:paraId="1455C429" w14:textId="77777777" w:rsidR="00CB1040" w:rsidRPr="00F350E1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eksempler på motivet ’stilleben’ og indsæt 3 malerier i denne boks.</w:t>
            </w:r>
          </w:p>
        </w:tc>
        <w:tc>
          <w:tcPr>
            <w:tcW w:w="4062" w:type="dxa"/>
          </w:tcPr>
          <w:p w14:paraId="5A04B1DB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7AF3D627" w14:textId="35AA9AC1" w:rsidTr="00CB1040">
        <w:tc>
          <w:tcPr>
            <w:tcW w:w="5566" w:type="dxa"/>
          </w:tcPr>
          <w:p w14:paraId="42E8E05B" w14:textId="77777777" w:rsidR="00CB1040" w:rsidRPr="00F350E1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spiller legen og sporten en stor rolle i barokken?</w:t>
            </w:r>
          </w:p>
        </w:tc>
        <w:tc>
          <w:tcPr>
            <w:tcW w:w="4062" w:type="dxa"/>
          </w:tcPr>
          <w:p w14:paraId="6CFFA584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723B914C" w14:textId="21A9617D" w:rsidTr="00CB1040">
        <w:tc>
          <w:tcPr>
            <w:tcW w:w="5566" w:type="dxa"/>
          </w:tcPr>
          <w:p w14:paraId="776B80DD" w14:textId="77777777" w:rsidR="00CB1040" w:rsidRPr="00F350E1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barokkens forhold til kedsomhed?</w:t>
            </w:r>
          </w:p>
        </w:tc>
        <w:tc>
          <w:tcPr>
            <w:tcW w:w="4062" w:type="dxa"/>
          </w:tcPr>
          <w:p w14:paraId="5E357AFE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B420" w14:textId="77777777" w:rsidR="000B2542" w:rsidRDefault="000B2542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6A835934" w14:textId="219E656A" w:rsidTr="00CB1040">
        <w:tc>
          <w:tcPr>
            <w:tcW w:w="5566" w:type="dxa"/>
          </w:tcPr>
          <w:p w14:paraId="724209EA" w14:textId="77777777" w:rsidR="00CB1040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barokkens forhold til Gud og det religiøse?</w:t>
            </w:r>
          </w:p>
        </w:tc>
        <w:tc>
          <w:tcPr>
            <w:tcW w:w="4062" w:type="dxa"/>
          </w:tcPr>
          <w:p w14:paraId="54A5627B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08E686C6" w14:textId="28F778F0" w:rsidTr="00CB1040">
        <w:tc>
          <w:tcPr>
            <w:tcW w:w="5566" w:type="dxa"/>
          </w:tcPr>
          <w:p w14:paraId="4C022231" w14:textId="77777777" w:rsidR="00CB1040" w:rsidRPr="00F350E1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Kommentér begrebet ’lykke’ ud fra en barok kontekst</w:t>
            </w:r>
          </w:p>
        </w:tc>
        <w:tc>
          <w:tcPr>
            <w:tcW w:w="4062" w:type="dxa"/>
          </w:tcPr>
          <w:p w14:paraId="38E766DB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6B6B61BE" w14:textId="41DFAADB" w:rsidTr="00CB1040">
        <w:tc>
          <w:tcPr>
            <w:tcW w:w="5566" w:type="dxa"/>
          </w:tcPr>
          <w:p w14:paraId="0ECD0CA9" w14:textId="77777777" w:rsidR="00CB1040" w:rsidRPr="007F28AC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hvilken måde kan Pascal forbindes med begrebet ’eksistentialisme’? Og hvad betyder egentlig ’eksistentialisme’? I hvilke situationer opstår interessen for ’eksistentialisme’? (f.eks. oplever eksistentialismen en storhedstid i 1950’erne) </w:t>
            </w:r>
          </w:p>
        </w:tc>
        <w:tc>
          <w:tcPr>
            <w:tcW w:w="4062" w:type="dxa"/>
          </w:tcPr>
          <w:p w14:paraId="3CAA78B6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1E649CAE" w14:textId="100E5D37" w:rsidTr="00CB1040">
        <w:tc>
          <w:tcPr>
            <w:tcW w:w="5566" w:type="dxa"/>
          </w:tcPr>
          <w:p w14:paraId="1191B8A0" w14:textId="77777777" w:rsidR="00CB1040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skal vi forstå ’det timelige’ hos Thomas Kingo?</w:t>
            </w:r>
          </w:p>
        </w:tc>
        <w:tc>
          <w:tcPr>
            <w:tcW w:w="4062" w:type="dxa"/>
          </w:tcPr>
          <w:p w14:paraId="121AB1C5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46018B1D" w14:textId="3E38F05D" w:rsidTr="00CB1040">
        <w:tc>
          <w:tcPr>
            <w:tcW w:w="5566" w:type="dxa"/>
          </w:tcPr>
          <w:p w14:paraId="14DB8ECA" w14:textId="77777777" w:rsidR="00CB1040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Kingo kaldes også lejlighedsdigter – hvad skal det sige?</w:t>
            </w:r>
          </w:p>
        </w:tc>
        <w:tc>
          <w:tcPr>
            <w:tcW w:w="4062" w:type="dxa"/>
          </w:tcPr>
          <w:p w14:paraId="296A046A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4BE97513" w14:textId="0A1138ED" w:rsidTr="00CB1040">
        <w:tc>
          <w:tcPr>
            <w:tcW w:w="5566" w:type="dxa"/>
          </w:tcPr>
          <w:p w14:paraId="4442A60F" w14:textId="77777777" w:rsidR="00CB1040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Forklar og giv eksempler på den berømte barokke stilfigur ’antitesen’ – og hvorfor er antitesen en yndet stilfigur i barokken?</w:t>
            </w:r>
          </w:p>
        </w:tc>
        <w:tc>
          <w:tcPr>
            <w:tcW w:w="4062" w:type="dxa"/>
          </w:tcPr>
          <w:p w14:paraId="51C19F75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062A63DC" w14:textId="1C7B4C76" w:rsidTr="00CB1040">
        <w:tc>
          <w:tcPr>
            <w:tcW w:w="5566" w:type="dxa"/>
          </w:tcPr>
          <w:p w14:paraId="563D3BC2" w14:textId="77777777" w:rsidR="00CB1040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vil det sige, at Kingo læser verden ’allegorisk’ med et negativt blik? Og hvad betyder ’vanitassymboler’ som allagoriske billeder?</w:t>
            </w:r>
          </w:p>
        </w:tc>
        <w:tc>
          <w:tcPr>
            <w:tcW w:w="4062" w:type="dxa"/>
          </w:tcPr>
          <w:p w14:paraId="413104F0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444B3402" w14:textId="479A852A" w:rsidTr="00CB1040">
        <w:tc>
          <w:tcPr>
            <w:tcW w:w="5566" w:type="dxa"/>
          </w:tcPr>
          <w:p w14:paraId="2345B55B" w14:textId="77777777" w:rsidR="00CB1040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barokkens forhold til erotik? (kærlighedsdiskurs i litteraturen: religiøs kærlighed-erotisk kærlighed).</w:t>
            </w:r>
          </w:p>
        </w:tc>
        <w:tc>
          <w:tcPr>
            <w:tcW w:w="4062" w:type="dxa"/>
          </w:tcPr>
          <w:p w14:paraId="0DF36504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51E65AE4" w14:textId="62D5A3DB" w:rsidTr="00CB1040">
        <w:tc>
          <w:tcPr>
            <w:tcW w:w="5566" w:type="dxa"/>
          </w:tcPr>
          <w:p w14:paraId="1417034D" w14:textId="77777777" w:rsidR="00CB1040" w:rsidRPr="00FA5E88" w:rsidRDefault="00CB1040" w:rsidP="00FA5E8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er barokken et litteært gennembrud i Danmark?</w:t>
            </w:r>
          </w:p>
        </w:tc>
        <w:tc>
          <w:tcPr>
            <w:tcW w:w="4062" w:type="dxa"/>
          </w:tcPr>
          <w:p w14:paraId="38FBF7FA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7C7A54C3" w14:textId="53E491FD" w:rsidTr="00CB1040">
        <w:tc>
          <w:tcPr>
            <w:tcW w:w="5566" w:type="dxa"/>
          </w:tcPr>
          <w:p w14:paraId="0D39C655" w14:textId="77777777" w:rsidR="00CB1040" w:rsidRDefault="00CB1040" w:rsidP="00FA5E8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genrerne lejlighedsdigtning, salmer og hyrdedigtning.</w:t>
            </w:r>
          </w:p>
        </w:tc>
        <w:tc>
          <w:tcPr>
            <w:tcW w:w="4062" w:type="dxa"/>
          </w:tcPr>
          <w:p w14:paraId="02C1783F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7341DF77" w14:textId="242F23E7" w:rsidTr="00CB1040">
        <w:tc>
          <w:tcPr>
            <w:tcW w:w="5566" w:type="dxa"/>
          </w:tcPr>
          <w:p w14:paraId="7C12AB48" w14:textId="77777777" w:rsidR="00CB1040" w:rsidRDefault="00CB1040" w:rsidP="00FA5E8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er Anders Bording en typisk barokkunstner?</w:t>
            </w:r>
          </w:p>
        </w:tc>
        <w:tc>
          <w:tcPr>
            <w:tcW w:w="4062" w:type="dxa"/>
          </w:tcPr>
          <w:p w14:paraId="3F8123AB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0935F87D" w14:textId="3A025761" w:rsidTr="00CB1040">
        <w:tc>
          <w:tcPr>
            <w:tcW w:w="5566" w:type="dxa"/>
          </w:tcPr>
          <w:p w14:paraId="4126D13D" w14:textId="77777777" w:rsidR="00CB1040" w:rsidRDefault="00CB1040" w:rsidP="00FA5E8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Hvorfor er Thomas Kingo en typisk barokdigter? Inden for hvilke genrer skriver han? Og hvilken rolle spiller han i forhold til </w:t>
            </w:r>
            <w:r w:rsidRPr="00A473EE">
              <w:rPr>
                <w:rFonts w:ascii="Times New Roman" w:hAnsi="Times New Roman" w:cs="Times New Roman"/>
                <w:i/>
                <w:sz w:val="24"/>
                <w:szCs w:val="24"/>
              </w:rPr>
              <w:t>Den danske Salmebog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62" w:type="dxa"/>
          </w:tcPr>
          <w:p w14:paraId="06DF0679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3E2B8432" w14:textId="7AE6E8B3" w:rsidTr="00CB1040">
        <w:tc>
          <w:tcPr>
            <w:tcW w:w="5566" w:type="dxa"/>
          </w:tcPr>
          <w:p w14:paraId="768A9964" w14:textId="5C7ECE49" w:rsidR="00CB1040" w:rsidRDefault="00CB1040" w:rsidP="00FA5E88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Præsentér maleriet på s. 1</w:t>
            </w:r>
            <w:r w:rsidR="00E10A1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”den hellige Thereses henrykkelse” (1645-1652) og forbind den med hyrdedigtning.</w:t>
            </w:r>
          </w:p>
        </w:tc>
        <w:tc>
          <w:tcPr>
            <w:tcW w:w="4062" w:type="dxa"/>
          </w:tcPr>
          <w:p w14:paraId="077A025B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0" w14:paraId="600077FC" w14:textId="3DC5427A" w:rsidTr="00CB1040">
        <w:tc>
          <w:tcPr>
            <w:tcW w:w="5566" w:type="dxa"/>
          </w:tcPr>
          <w:p w14:paraId="267B372D" w14:textId="77777777" w:rsidR="00CB1040" w:rsidRDefault="00CB1040" w:rsidP="006C47D2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Stikord til behandling af barok digtning: Formsprog – parallelopbygning - svulstigt billedsprog – vanitassymboler - stram barokkomposition – eksistentiel kedsomhed – mening gennem Gud</w:t>
            </w:r>
          </w:p>
        </w:tc>
        <w:tc>
          <w:tcPr>
            <w:tcW w:w="4062" w:type="dxa"/>
          </w:tcPr>
          <w:p w14:paraId="5394084D" w14:textId="77777777" w:rsidR="00CB1040" w:rsidRDefault="00CB1040" w:rsidP="00CB1040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7F90F" w14:textId="77777777" w:rsidR="009A4247" w:rsidRDefault="009A4247" w:rsidP="006C4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EA6741" w14:textId="77777777" w:rsidR="00905376" w:rsidRDefault="00905376" w:rsidP="006C4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CA8EA3" w14:textId="77777777" w:rsidR="000B2542" w:rsidRDefault="000B2542" w:rsidP="006C4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87E1F0" w14:textId="77777777" w:rsidR="00237BBB" w:rsidRPr="000B2542" w:rsidRDefault="00237BBB" w:rsidP="006C47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2542">
        <w:rPr>
          <w:rFonts w:ascii="Times New Roman" w:hAnsi="Times New Roman" w:cs="Times New Roman"/>
          <w:b/>
          <w:sz w:val="28"/>
          <w:szCs w:val="28"/>
        </w:rPr>
        <w:lastRenderedPageBreak/>
        <w:t>Sproglig fornyelse i barokken</w:t>
      </w:r>
    </w:p>
    <w:p w14:paraId="53F365F0" w14:textId="77777777" w:rsidR="00237BBB" w:rsidRPr="0009065C" w:rsidRDefault="00237BBB" w:rsidP="0009065C">
      <w:pPr>
        <w:spacing w:line="360" w:lineRule="auto"/>
        <w:rPr>
          <w:rFonts w:ascii="Times New Roman" w:hAnsi="Times New Roman" w:cs="Times New Roman"/>
        </w:rPr>
      </w:pPr>
      <w:r w:rsidRPr="0009065C">
        <w:rPr>
          <w:rFonts w:ascii="Times New Roman" w:hAnsi="Times New Roman" w:cs="Times New Roman"/>
        </w:rPr>
        <w:t xml:space="preserve">De nye genrekrav i f.eks. salmedigtningen om fornyelse af sproget med inspiration fra andre europæiske lande som Tyskland og Frankrig, begyndte man også i dansk digtning at lade sig inspirere af den klassiske retoriks stilfigurer som f.eks. metaforen, sammenligningen, gentagelsen, anaforen, antitesen og retoriske spørgsmål etc. (klassiske græske værker var forbilledet: jf. </w:t>
      </w:r>
      <w:r w:rsidRPr="0009065C">
        <w:rPr>
          <w:rFonts w:ascii="Times New Roman" w:hAnsi="Times New Roman" w:cs="Times New Roman"/>
          <w:i/>
        </w:rPr>
        <w:t>renæssance</w:t>
      </w:r>
      <w:r w:rsidRPr="0009065C">
        <w:rPr>
          <w:rFonts w:ascii="Times New Roman" w:hAnsi="Times New Roman" w:cs="Times New Roman"/>
        </w:rPr>
        <w:t>).</w:t>
      </w:r>
      <w:r w:rsidR="00F20683" w:rsidRPr="0009065C">
        <w:rPr>
          <w:rFonts w:ascii="Times New Roman" w:hAnsi="Times New Roman" w:cs="Times New Roman"/>
        </w:rPr>
        <w:t xml:space="preserve"> Generelt så anvendes der gerne </w:t>
      </w:r>
      <w:r w:rsidR="00F20683" w:rsidRPr="0009065C">
        <w:rPr>
          <w:rFonts w:ascii="Times New Roman" w:hAnsi="Times New Roman" w:cs="Times New Roman"/>
          <w:i/>
        </w:rPr>
        <w:t>ordspil/symbolik/metaforik</w:t>
      </w:r>
      <w:r w:rsidR="00F20683" w:rsidRPr="0009065C">
        <w:rPr>
          <w:rFonts w:ascii="Times New Roman" w:hAnsi="Times New Roman" w:cs="Times New Roman"/>
        </w:rPr>
        <w:t xml:space="preserve"> for at forklare det abstrakte gennem det konkrete (at gøre det abstrakte forståeligt gennem det konkrete). Når man vil </w:t>
      </w:r>
      <w:r w:rsidR="0009065C" w:rsidRPr="0009065C">
        <w:rPr>
          <w:rFonts w:ascii="Times New Roman" w:hAnsi="Times New Roman" w:cs="Times New Roman"/>
        </w:rPr>
        <w:t xml:space="preserve">fortælle noget om et givent emne (et </w:t>
      </w:r>
      <w:r w:rsidR="0009065C" w:rsidRPr="0009065C">
        <w:rPr>
          <w:rFonts w:ascii="Times New Roman" w:hAnsi="Times New Roman" w:cs="Times New Roman"/>
          <w:i/>
        </w:rPr>
        <w:t>målområde</w:t>
      </w:r>
      <w:r w:rsidR="0009065C" w:rsidRPr="0009065C">
        <w:rPr>
          <w:rFonts w:ascii="Times New Roman" w:hAnsi="Times New Roman" w:cs="Times New Roman"/>
        </w:rPr>
        <w:t xml:space="preserve">), så anvender man et kendt billede (en metafor) (et </w:t>
      </w:r>
      <w:r w:rsidR="0009065C" w:rsidRPr="0009065C">
        <w:rPr>
          <w:rFonts w:ascii="Times New Roman" w:hAnsi="Times New Roman" w:cs="Times New Roman"/>
          <w:i/>
        </w:rPr>
        <w:t>kildeområde</w:t>
      </w:r>
      <w:r w:rsidR="0009065C" w:rsidRPr="0009065C">
        <w:rPr>
          <w:rFonts w:ascii="Times New Roman" w:hAnsi="Times New Roman" w:cs="Times New Roman"/>
        </w:rPr>
        <w:t>). Kildeområdet hjælper til med at forstå målområdet.</w:t>
      </w:r>
      <w:r w:rsidR="00020818">
        <w:rPr>
          <w:rFonts w:ascii="Times New Roman" w:hAnsi="Times New Roman" w:cs="Times New Roman"/>
        </w:rPr>
        <w:t xml:space="preserve"> F.eks. ”havet hvisker i natten” – målområdet er at sige noget de forunderlig</w:t>
      </w:r>
      <w:r w:rsidR="008C1391">
        <w:rPr>
          <w:rFonts w:ascii="Times New Roman" w:hAnsi="Times New Roman" w:cs="Times New Roman"/>
        </w:rPr>
        <w:t>e og måske lidt uhyggelige lyde</w:t>
      </w:r>
      <w:r w:rsidR="00020818">
        <w:rPr>
          <w:rFonts w:ascii="Times New Roman" w:hAnsi="Times New Roman" w:cs="Times New Roman"/>
        </w:rPr>
        <w:t>, som havet kan frembringe, når alt er tyst om natten, hertil bruger man så verbet ”hviske” som kildeområde til at forklare havets lyde.</w:t>
      </w:r>
      <w:r w:rsidR="008C1391">
        <w:rPr>
          <w:rFonts w:ascii="Times New Roman" w:hAnsi="Times New Roman" w:cs="Times New Roman"/>
        </w:rPr>
        <w:t xml:space="preserve"> Man sætter altså ved metaforer ofte to forhold sammen, som man normalt ikke forbinder med hinanden (målområdet forskelligt fra kildeområdet).</w:t>
      </w:r>
    </w:p>
    <w:p w14:paraId="3B9A9968" w14:textId="77777777" w:rsidR="0009065C" w:rsidRPr="0009065C" w:rsidRDefault="0009065C" w:rsidP="0009065C">
      <w:pPr>
        <w:pStyle w:val="Listeafsnit"/>
        <w:spacing w:line="360" w:lineRule="auto"/>
        <w:ind w:left="1080"/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57"/>
        <w:gridCol w:w="2747"/>
        <w:gridCol w:w="2181"/>
        <w:gridCol w:w="1843"/>
      </w:tblGrid>
      <w:tr w:rsidR="00687FB2" w14:paraId="3A8DFD00" w14:textId="77777777" w:rsidTr="00110666">
        <w:tc>
          <w:tcPr>
            <w:tcW w:w="9628" w:type="dxa"/>
            <w:gridSpan w:val="4"/>
          </w:tcPr>
          <w:p w14:paraId="34FBEFDE" w14:textId="77777777" w:rsidR="005939C2" w:rsidRDefault="005939C2" w:rsidP="00687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STILISTIK</w:t>
            </w:r>
          </w:p>
          <w:p w14:paraId="402DDD42" w14:textId="77777777" w:rsidR="00687FB2" w:rsidRDefault="00687FB2" w:rsidP="00687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Sproglige billeder og stilfigurer</w:t>
            </w:r>
          </w:p>
        </w:tc>
      </w:tr>
      <w:tr w:rsidR="00687FB2" w14:paraId="6747044B" w14:textId="77777777" w:rsidTr="00A11E64">
        <w:tc>
          <w:tcPr>
            <w:tcW w:w="9628" w:type="dxa"/>
            <w:gridSpan w:val="4"/>
          </w:tcPr>
          <w:p w14:paraId="742FC289" w14:textId="77777777" w:rsidR="00687FB2" w:rsidRDefault="00687FB2" w:rsidP="00687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SPROGLIGE BILLEDER</w:t>
            </w:r>
          </w:p>
        </w:tc>
      </w:tr>
      <w:tr w:rsidR="00687FB2" w14:paraId="016D6D5E" w14:textId="77777777" w:rsidTr="00E50D56">
        <w:tc>
          <w:tcPr>
            <w:tcW w:w="2857" w:type="dxa"/>
          </w:tcPr>
          <w:p w14:paraId="2A7C9B45" w14:textId="77777777" w:rsidR="00687FB2" w:rsidRPr="00237BBB" w:rsidRDefault="00687FB2" w:rsidP="006C47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Sprogligt billede</w:t>
            </w:r>
          </w:p>
        </w:tc>
        <w:tc>
          <w:tcPr>
            <w:tcW w:w="2747" w:type="dxa"/>
          </w:tcPr>
          <w:p w14:paraId="095D80BC" w14:textId="77777777" w:rsidR="00687FB2" w:rsidRPr="00237BBB" w:rsidRDefault="00687FB2" w:rsidP="006C47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BB">
              <w:rPr>
                <w:rFonts w:ascii="Times New Roman" w:hAnsi="Times New Roman" w:cs="Times New Roman"/>
                <w:b/>
                <w:sz w:val="24"/>
                <w:szCs w:val="24"/>
              </w:rPr>
              <w:t>Forklaring</w:t>
            </w:r>
          </w:p>
        </w:tc>
        <w:tc>
          <w:tcPr>
            <w:tcW w:w="2181" w:type="dxa"/>
          </w:tcPr>
          <w:p w14:paraId="63205787" w14:textId="77777777" w:rsidR="00687FB2" w:rsidRPr="00237BBB" w:rsidRDefault="00687FB2" w:rsidP="006C47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Hvorfor passer begrebet fint til barokken?</w:t>
            </w:r>
          </w:p>
        </w:tc>
        <w:tc>
          <w:tcPr>
            <w:tcW w:w="1843" w:type="dxa"/>
          </w:tcPr>
          <w:p w14:paraId="6ACACED3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Teksteksempler</w:t>
            </w:r>
          </w:p>
        </w:tc>
      </w:tr>
      <w:tr w:rsidR="00687FB2" w14:paraId="2523841E" w14:textId="77777777" w:rsidTr="00E50D56">
        <w:tc>
          <w:tcPr>
            <w:tcW w:w="2857" w:type="dxa"/>
          </w:tcPr>
          <w:p w14:paraId="5E09543D" w14:textId="77777777" w:rsidR="00687FB2" w:rsidRDefault="004C619E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Metaforen</w:t>
            </w:r>
          </w:p>
        </w:tc>
        <w:tc>
          <w:tcPr>
            <w:tcW w:w="2747" w:type="dxa"/>
          </w:tcPr>
          <w:p w14:paraId="26F17EA1" w14:textId="77777777" w:rsidR="00687FB2" w:rsidRDefault="004C619E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Beskriver et fænomen ved at pege på lighedstræk med et andet fænomen (vha. målområde og kildeområde).</w:t>
            </w:r>
            <w:r w:rsidR="005939C2">
              <w:rPr>
                <w:rFonts w:ascii="Times New Roman" w:hAnsi="Times New Roman" w:cs="Times New Roman"/>
                <w:sz w:val="24"/>
                <w:szCs w:val="24"/>
              </w:rPr>
              <w:t xml:space="preserve"> Man skyr tingen som sådan ved at bru</w:t>
            </w:r>
            <w:r w:rsidR="00E50D56">
              <w:rPr>
                <w:rFonts w:ascii="Times New Roman" w:hAnsi="Times New Roman" w:cs="Times New Roman"/>
                <w:sz w:val="24"/>
                <w:szCs w:val="24"/>
              </w:rPr>
              <w:t>ge et billede i stedet (at skjule den egentlige forestilling).</w:t>
            </w:r>
          </w:p>
          <w:p w14:paraId="1993BCF5" w14:textId="77777777" w:rsidR="004C619E" w:rsidRPr="004C619E" w:rsidRDefault="004C619E" w:rsidP="006C47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19E">
              <w:rPr>
                <w:rFonts w:ascii="Times New Roman" w:hAnsi="Times New Roman" w:cs="Times New Roman"/>
                <w:i/>
                <w:sz w:val="24"/>
                <w:szCs w:val="24"/>
              </w:rPr>
              <w:t>At være let på tå</w:t>
            </w:r>
          </w:p>
        </w:tc>
        <w:tc>
          <w:tcPr>
            <w:tcW w:w="2181" w:type="dxa"/>
          </w:tcPr>
          <w:p w14:paraId="53C4CE02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1FF5BF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2" w14:paraId="61EF8DD9" w14:textId="77777777" w:rsidTr="00E50D56">
        <w:tc>
          <w:tcPr>
            <w:tcW w:w="2857" w:type="dxa"/>
          </w:tcPr>
          <w:p w14:paraId="5E9043AB" w14:textId="77777777" w:rsidR="00687FB2" w:rsidRDefault="000D22F9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0D22F9">
              <w:rPr>
                <w:rFonts w:ascii="Times New Roman" w:hAnsi="Times New Roman" w:cs="Times New Roman"/>
                <w:i/>
                <w:sz w:val="24"/>
                <w:szCs w:val="24"/>
              </w:rPr>
              <w:t>omposita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742A">
              <w:rPr>
                <w:rFonts w:ascii="Times New Roman" w:hAnsi="Times New Roman" w:cs="Times New Roman"/>
                <w:sz w:val="24"/>
                <w:szCs w:val="24"/>
              </w:rPr>
              <w:t>(pl.)</w:t>
            </w:r>
          </w:p>
          <w:p w14:paraId="5F80EFFB" w14:textId="77777777" w:rsidR="000D22F9" w:rsidRPr="000D22F9" w:rsidRDefault="000D22F9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(= ordsammensætninger).</w:t>
            </w:r>
          </w:p>
        </w:tc>
        <w:tc>
          <w:tcPr>
            <w:tcW w:w="2747" w:type="dxa"/>
          </w:tcPr>
          <w:p w14:paraId="7083497F" w14:textId="77777777" w:rsidR="00687FB2" w:rsidRDefault="00687FB2" w:rsidP="00F206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</w:t>
            </w:r>
            <w:r w:rsidRPr="00F20683">
              <w:rPr>
                <w:rFonts w:ascii="Times New Roman" w:hAnsi="Times New Roman" w:cs="Times New Roman"/>
              </w:rPr>
              <w:t xml:space="preserve">litterær mode </w:t>
            </w:r>
            <w:r>
              <w:rPr>
                <w:rFonts w:ascii="Times New Roman" w:hAnsi="Times New Roman" w:cs="Times New Roman"/>
              </w:rPr>
              <w:t xml:space="preserve">i tiden </w:t>
            </w:r>
            <w:r w:rsidRPr="00F20683">
              <w:rPr>
                <w:rFonts w:ascii="Times New Roman" w:hAnsi="Times New Roman" w:cs="Times New Roman"/>
              </w:rPr>
              <w:t xml:space="preserve">pga. ordmangel – kan ofte virker kejtet, men udviser høj grad </w:t>
            </w:r>
            <w:r w:rsidRPr="00F20683">
              <w:rPr>
                <w:rFonts w:ascii="Times New Roman" w:hAnsi="Times New Roman" w:cs="Times New Roman"/>
              </w:rPr>
              <w:lastRenderedPageBreak/>
              <w:t xml:space="preserve">af originalitet – disse sammensætninger har </w:t>
            </w:r>
            <w:r>
              <w:rPr>
                <w:rFonts w:ascii="Times New Roman" w:hAnsi="Times New Roman" w:cs="Times New Roman"/>
              </w:rPr>
              <w:t xml:space="preserve">også </w:t>
            </w:r>
            <w:r w:rsidRPr="00F20683">
              <w:rPr>
                <w:rFonts w:ascii="Times New Roman" w:hAnsi="Times New Roman" w:cs="Times New Roman"/>
              </w:rPr>
              <w:t>ofte forstærkende karakter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</w:t>
            </w:r>
            <w:r w:rsidRPr="00F20683">
              <w:rPr>
                <w:rFonts w:ascii="Times New Roman" w:hAnsi="Times New Roman" w:cs="Times New Roman"/>
              </w:rPr>
              <w:t>endens til forkærlighe</w:t>
            </w:r>
            <w:r>
              <w:rPr>
                <w:rFonts w:ascii="Times New Roman" w:hAnsi="Times New Roman" w:cs="Times New Roman"/>
              </w:rPr>
              <w:t>d for særlige præfikser. O</w:t>
            </w:r>
            <w:r w:rsidRPr="00F20683">
              <w:rPr>
                <w:rFonts w:ascii="Times New Roman" w:hAnsi="Times New Roman" w:cs="Times New Roman"/>
              </w:rPr>
              <w:t>fte er sammensætninger</w:t>
            </w:r>
            <w:r>
              <w:rPr>
                <w:rFonts w:ascii="Times New Roman" w:hAnsi="Times New Roman" w:cs="Times New Roman"/>
              </w:rPr>
              <w:t>ne del af</w:t>
            </w:r>
            <w:r w:rsidRPr="00F20683">
              <w:rPr>
                <w:rFonts w:ascii="Times New Roman" w:hAnsi="Times New Roman" w:cs="Times New Roman"/>
              </w:rPr>
              <w:t xml:space="preserve"> metaforer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20683">
              <w:rPr>
                <w:rFonts w:ascii="Times New Roman" w:hAnsi="Times New Roman" w:cs="Times New Roman"/>
              </w:rPr>
              <w:t>at forklare det abstrakte</w:t>
            </w:r>
            <w:r>
              <w:rPr>
                <w:rFonts w:ascii="Times New Roman" w:hAnsi="Times New Roman" w:cs="Times New Roman"/>
              </w:rPr>
              <w:t xml:space="preserve"> (målområde)</w:t>
            </w:r>
            <w:r w:rsidRPr="00F20683">
              <w:rPr>
                <w:rFonts w:ascii="Times New Roman" w:hAnsi="Times New Roman" w:cs="Times New Roman"/>
              </w:rPr>
              <w:t xml:space="preserve"> vha. det konkrete</w:t>
            </w:r>
            <w:r>
              <w:rPr>
                <w:rFonts w:ascii="Times New Roman" w:hAnsi="Times New Roman" w:cs="Times New Roman"/>
              </w:rPr>
              <w:t xml:space="preserve"> (kildeområde).</w:t>
            </w:r>
            <w:r w:rsidRPr="00F20683">
              <w:rPr>
                <w:rFonts w:ascii="Times New Roman" w:hAnsi="Times New Roman" w:cs="Times New Roman"/>
              </w:rPr>
              <w:t xml:space="preserve"> </w:t>
            </w:r>
          </w:p>
          <w:p w14:paraId="77A77AC1" w14:textId="77777777" w:rsidR="00687FB2" w:rsidRPr="00F20683" w:rsidRDefault="00687FB2" w:rsidP="006C47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0683">
              <w:rPr>
                <w:rFonts w:ascii="Times New Roman" w:hAnsi="Times New Roman" w:cs="Times New Roman"/>
                <w:i/>
              </w:rPr>
              <w:t>Rosen-Kind</w:t>
            </w:r>
            <w:r>
              <w:rPr>
                <w:rFonts w:ascii="Times New Roman" w:hAnsi="Times New Roman" w:cs="Times New Roman"/>
              </w:rPr>
              <w:t xml:space="preserve"> (man vil sige noget om kinden vha. rosen som metafor).</w:t>
            </w:r>
          </w:p>
        </w:tc>
        <w:tc>
          <w:tcPr>
            <w:tcW w:w="2181" w:type="dxa"/>
          </w:tcPr>
          <w:p w14:paraId="6F1D346C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10C3E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2" w14:paraId="2B6A3D22" w14:textId="77777777" w:rsidTr="00E50D56">
        <w:tc>
          <w:tcPr>
            <w:tcW w:w="2857" w:type="dxa"/>
          </w:tcPr>
          <w:p w14:paraId="3E21AA2E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Personifikation</w:t>
            </w:r>
          </w:p>
        </w:tc>
        <w:tc>
          <w:tcPr>
            <w:tcW w:w="2747" w:type="dxa"/>
          </w:tcPr>
          <w:p w14:paraId="2C8A7337" w14:textId="77777777" w:rsidR="00687FB2" w:rsidRDefault="00687FB2" w:rsidP="00F206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Abstrakte begreber får menneskelige evner eller egenskaber (ofte om død/liv/kærlighed).</w:t>
            </w:r>
          </w:p>
          <w:p w14:paraId="5672C9EA" w14:textId="77777777" w:rsidR="00687FB2" w:rsidRDefault="00687FB2" w:rsidP="00F206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Døden banker på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1" w:type="dxa"/>
          </w:tcPr>
          <w:p w14:paraId="0CB8F40C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72243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2" w14:paraId="767BF893" w14:textId="77777777" w:rsidTr="00E50D56">
        <w:tc>
          <w:tcPr>
            <w:tcW w:w="2857" w:type="dxa"/>
          </w:tcPr>
          <w:p w14:paraId="25B7FE32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2747" w:type="dxa"/>
          </w:tcPr>
          <w:p w14:paraId="1E9F8A86" w14:textId="77777777" w:rsidR="00687FB2" w:rsidRDefault="00687FB2" w:rsidP="00F206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 eller ting, der ikke kun har bogstavelig betydning, men også en overført eller metaforisk betydning</w:t>
            </w:r>
            <w:r w:rsidR="00E50D56">
              <w:rPr>
                <w:rFonts w:ascii="Times New Roman" w:hAnsi="Times New Roman" w:cs="Times New Roman"/>
              </w:rPr>
              <w:t xml:space="preserve"> (f.eks. vanitassymbolik – en gennemgående symbolik kan også være et tilbagevendende motiv).</w:t>
            </w:r>
          </w:p>
          <w:p w14:paraId="6991FFA8" w14:textId="77777777" w:rsidR="00687FB2" w:rsidRPr="00687FB2" w:rsidRDefault="00687FB2" w:rsidP="00F206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F.eks. rose, hjerte, ugle, kors</w:t>
            </w:r>
          </w:p>
        </w:tc>
        <w:tc>
          <w:tcPr>
            <w:tcW w:w="2181" w:type="dxa"/>
          </w:tcPr>
          <w:p w14:paraId="2109CD17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0DA4E7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2" w14:paraId="0C64923A" w14:textId="77777777" w:rsidTr="00E50D56">
        <w:tc>
          <w:tcPr>
            <w:tcW w:w="7785" w:type="dxa"/>
            <w:gridSpan w:val="3"/>
          </w:tcPr>
          <w:p w14:paraId="0CFC0442" w14:textId="77777777" w:rsidR="00687FB2" w:rsidRPr="00687FB2" w:rsidRDefault="00687FB2" w:rsidP="00687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FB2">
              <w:rPr>
                <w:rFonts w:ascii="Times New Roman" w:hAnsi="Times New Roman" w:cs="Times New Roman"/>
                <w:b/>
                <w:sz w:val="24"/>
                <w:szCs w:val="24"/>
              </w:rPr>
              <w:t>STILFIGURER</w:t>
            </w:r>
          </w:p>
        </w:tc>
        <w:tc>
          <w:tcPr>
            <w:tcW w:w="1843" w:type="dxa"/>
          </w:tcPr>
          <w:p w14:paraId="3B3C1E56" w14:textId="77777777" w:rsidR="00687FB2" w:rsidRPr="00687FB2" w:rsidRDefault="00687FB2" w:rsidP="00687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9C2" w14:paraId="6ED4228A" w14:textId="77777777" w:rsidTr="00E50D56">
        <w:tc>
          <w:tcPr>
            <w:tcW w:w="2857" w:type="dxa"/>
          </w:tcPr>
          <w:p w14:paraId="094A6B67" w14:textId="77777777" w:rsidR="005939C2" w:rsidRDefault="005939C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Antitese</w:t>
            </w:r>
          </w:p>
        </w:tc>
        <w:tc>
          <w:tcPr>
            <w:tcW w:w="2747" w:type="dxa"/>
          </w:tcPr>
          <w:p w14:paraId="070707F7" w14:textId="77777777" w:rsidR="005939C2" w:rsidRDefault="005939C2" w:rsidP="00687F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opstilling af modsætninger, der vil give en dramatisk effekt.</w:t>
            </w:r>
          </w:p>
          <w:p w14:paraId="33C95564" w14:textId="77777777" w:rsidR="005939C2" w:rsidRPr="005939C2" w:rsidRDefault="005939C2" w:rsidP="00687FB2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  <w:r w:rsidRPr="005939C2">
              <w:rPr>
                <w:rFonts w:ascii="Times New Roman" w:hAnsi="Times New Roman" w:cs="Times New Roman"/>
                <w:i/>
              </w:rPr>
              <w:t>ag</w:t>
            </w:r>
            <w:r>
              <w:rPr>
                <w:rFonts w:ascii="Times New Roman" w:hAnsi="Times New Roman" w:cs="Times New Roman"/>
                <w:i/>
              </w:rPr>
              <w:t>&gt;&lt;</w:t>
            </w:r>
            <w:r w:rsidRPr="005939C2">
              <w:rPr>
                <w:rFonts w:ascii="Times New Roman" w:hAnsi="Times New Roman" w:cs="Times New Roman"/>
                <w:i/>
              </w:rPr>
              <w:t>nat</w:t>
            </w:r>
          </w:p>
        </w:tc>
        <w:tc>
          <w:tcPr>
            <w:tcW w:w="2181" w:type="dxa"/>
          </w:tcPr>
          <w:p w14:paraId="4DDD9BD1" w14:textId="77777777" w:rsidR="005939C2" w:rsidRDefault="005939C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AF8D7F" w14:textId="77777777" w:rsidR="005939C2" w:rsidRDefault="005939C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2" w14:paraId="471E105A" w14:textId="77777777" w:rsidTr="00E50D56">
        <w:tc>
          <w:tcPr>
            <w:tcW w:w="2857" w:type="dxa"/>
          </w:tcPr>
          <w:p w14:paraId="5B3E0D6E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Hyperbel (fra græsk)</w:t>
            </w:r>
          </w:p>
        </w:tc>
        <w:tc>
          <w:tcPr>
            <w:tcW w:w="2747" w:type="dxa"/>
          </w:tcPr>
          <w:p w14:paraId="76961431" w14:textId="77777777" w:rsidR="00687FB2" w:rsidRDefault="00687FB2" w:rsidP="00687F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Overdrivelse, voldsomme følelsesudslag, overdrivende sammenligninger. Ofte ved </w:t>
            </w:r>
            <w:r>
              <w:rPr>
                <w:rFonts w:ascii="Times New Roman" w:hAnsi="Times New Roman" w:cs="Times New Roman"/>
              </w:rPr>
              <w:lastRenderedPageBreak/>
              <w:t xml:space="preserve">brug af adjektivets superlativform: -ste </w:t>
            </w:r>
          </w:p>
          <w:p w14:paraId="769196D4" w14:textId="77777777" w:rsidR="00687FB2" w:rsidRDefault="00687FB2" w:rsidP="00687F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bruges som udtryk for ekstase, beundring og begejstring</w:t>
            </w:r>
          </w:p>
          <w:p w14:paraId="4A544D1C" w14:textId="77777777" w:rsidR="00687FB2" w:rsidRDefault="00687FB2" w:rsidP="00687FB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0683">
              <w:rPr>
                <w:rFonts w:ascii="Times New Roman" w:hAnsi="Times New Roman" w:cs="Times New Roman"/>
                <w:i/>
              </w:rPr>
              <w:t xml:space="preserve">Den skønneste </w:t>
            </w:r>
            <w:r>
              <w:rPr>
                <w:rFonts w:ascii="Times New Roman" w:hAnsi="Times New Roman" w:cs="Times New Roman"/>
                <w:i/>
              </w:rPr>
              <w:t xml:space="preserve">og fantastiske </w:t>
            </w:r>
            <w:r w:rsidRPr="00F20683">
              <w:rPr>
                <w:rFonts w:ascii="Times New Roman" w:hAnsi="Times New Roman" w:cs="Times New Roman"/>
                <w:i/>
              </w:rPr>
              <w:t>rose</w:t>
            </w:r>
          </w:p>
        </w:tc>
        <w:tc>
          <w:tcPr>
            <w:tcW w:w="2181" w:type="dxa"/>
          </w:tcPr>
          <w:p w14:paraId="1F1EFC06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B72549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2" w14:paraId="733BD23D" w14:textId="77777777" w:rsidTr="00E50D56">
        <w:tc>
          <w:tcPr>
            <w:tcW w:w="2857" w:type="dxa"/>
          </w:tcPr>
          <w:p w14:paraId="67661454" w14:textId="77777777" w:rsidR="00687FB2" w:rsidRDefault="005939C2" w:rsidP="00593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Oxymoron</w:t>
            </w:r>
          </w:p>
        </w:tc>
        <w:tc>
          <w:tcPr>
            <w:tcW w:w="2747" w:type="dxa"/>
          </w:tcPr>
          <w:p w14:paraId="5226BDDF" w14:textId="77777777" w:rsidR="00687FB2" w:rsidRDefault="005939C2" w:rsidP="00687F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Sammensætter to størrelser, der ellers ville være uforenelige</w:t>
            </w:r>
          </w:p>
          <w:p w14:paraId="334EE84F" w14:textId="77777777" w:rsidR="007E78FD" w:rsidRPr="007E78FD" w:rsidRDefault="007E78FD" w:rsidP="00687FB2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7E78FD">
              <w:rPr>
                <w:rFonts w:ascii="Times New Roman" w:hAnsi="Times New Roman" w:cs="Times New Roman"/>
                <w:i/>
              </w:rPr>
              <w:t>frygtelig dejlig</w:t>
            </w:r>
          </w:p>
          <w:p w14:paraId="7532DF6F" w14:textId="77777777" w:rsidR="00687FB2" w:rsidRPr="007E78FD" w:rsidRDefault="007E78FD" w:rsidP="006C47D2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7E78FD">
              <w:rPr>
                <w:rFonts w:ascii="Times New Roman" w:hAnsi="Times New Roman" w:cs="Times New Roman"/>
                <w:i/>
              </w:rPr>
              <w:t>bittersød</w:t>
            </w:r>
          </w:p>
        </w:tc>
        <w:tc>
          <w:tcPr>
            <w:tcW w:w="2181" w:type="dxa"/>
          </w:tcPr>
          <w:p w14:paraId="3BB2A321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2901ED" w14:textId="77777777" w:rsidR="00687FB2" w:rsidRDefault="00687FB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C2" w14:paraId="60119116" w14:textId="77777777" w:rsidTr="00E50D56">
        <w:tc>
          <w:tcPr>
            <w:tcW w:w="2857" w:type="dxa"/>
          </w:tcPr>
          <w:p w14:paraId="58FD52A3" w14:textId="77777777" w:rsidR="005939C2" w:rsidRDefault="005939C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Retorisk spørgsmål</w:t>
            </w:r>
          </w:p>
        </w:tc>
        <w:tc>
          <w:tcPr>
            <w:tcW w:w="2747" w:type="dxa"/>
          </w:tcPr>
          <w:p w14:paraId="09582763" w14:textId="77777777" w:rsidR="005939C2" w:rsidRDefault="005939C2" w:rsidP="00687F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Spørgsmål, som man ikke behøver svare på.</w:t>
            </w:r>
          </w:p>
          <w:p w14:paraId="15EBB139" w14:textId="77777777" w:rsidR="005939C2" w:rsidRPr="005939C2" w:rsidRDefault="005939C2" w:rsidP="00687FB2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Hvad skal jeg sige?</w:t>
            </w:r>
          </w:p>
        </w:tc>
        <w:tc>
          <w:tcPr>
            <w:tcW w:w="2181" w:type="dxa"/>
          </w:tcPr>
          <w:p w14:paraId="0DFA8A49" w14:textId="77777777" w:rsidR="005939C2" w:rsidRDefault="005939C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7DD4C" w14:textId="77777777" w:rsidR="005939C2" w:rsidRDefault="005939C2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7E916" w14:textId="77777777" w:rsidR="00905376" w:rsidRDefault="00905376" w:rsidP="006C4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5C0A3" w14:textId="77777777" w:rsidR="00333104" w:rsidRDefault="00333104" w:rsidP="006C4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3F8E" w14:paraId="6A3ABE00" w14:textId="77777777" w:rsidTr="004C3F8E">
        <w:tc>
          <w:tcPr>
            <w:tcW w:w="4814" w:type="dxa"/>
          </w:tcPr>
          <w:p w14:paraId="70AC30A3" w14:textId="77777777" w:rsidR="004C3F8E" w:rsidRPr="004C3F8E" w:rsidRDefault="004C3F8E" w:rsidP="006C47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8E">
              <w:rPr>
                <w:rFonts w:ascii="Times New Roman" w:hAnsi="Times New Roman" w:cs="Times New Roman"/>
                <w:b/>
                <w:sz w:val="24"/>
                <w:szCs w:val="24"/>
              </w:rPr>
              <w:t>MOTIV</w:t>
            </w:r>
          </w:p>
        </w:tc>
        <w:tc>
          <w:tcPr>
            <w:tcW w:w="4814" w:type="dxa"/>
          </w:tcPr>
          <w:p w14:paraId="18D2CE22" w14:textId="77777777" w:rsidR="004C3F8E" w:rsidRPr="004C3F8E" w:rsidRDefault="004C3F8E" w:rsidP="006C47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8E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</w:tr>
      <w:tr w:rsidR="004C3F8E" w14:paraId="45B5DAF5" w14:textId="77777777" w:rsidTr="004C3F8E">
        <w:tc>
          <w:tcPr>
            <w:tcW w:w="4814" w:type="dxa"/>
          </w:tcPr>
          <w:p w14:paraId="6A97E30F" w14:textId="77777777" w:rsidR="004C3F8E" w:rsidRDefault="004C3F8E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4C3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otivus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(latin) = bevægende, drivende.</w:t>
            </w:r>
          </w:p>
          <w:p w14:paraId="5FEEA737" w14:textId="77777777" w:rsidR="0072162D" w:rsidRDefault="0072162D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handler teksten om? Tekstens skelet.</w:t>
            </w:r>
          </w:p>
          <w:p w14:paraId="6191D0FB" w14:textId="77777777" w:rsidR="004C3F8E" w:rsidRDefault="004C3F8E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8E">
              <w:rPr>
                <w:rFonts w:ascii="Times New Roman" w:hAnsi="Times New Roman" w:cs="Times New Roman"/>
                <w:b/>
                <w:sz w:val="24"/>
                <w:szCs w:val="24"/>
              </w:rPr>
              <w:t>En grundsituation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der karakteriserer det litterære værk, men som også går ud over det, fordi den er af mere almen karakter.</w:t>
            </w:r>
          </w:p>
          <w:p w14:paraId="320B0B85" w14:textId="77777777" w:rsidR="0072162D" w:rsidRDefault="0072162D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tekst kan have flere motiver.</w:t>
            </w:r>
          </w:p>
          <w:p w14:paraId="6CC5BB17" w14:textId="77777777" w:rsidR="004C3F8E" w:rsidRDefault="004C3F8E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F.eks. far/søn-konflikten, ødipusmotivet, </w:t>
            </w:r>
            <w:r w:rsidR="0072162D">
              <w:rPr>
                <w:rFonts w:ascii="Times New Roman" w:hAnsi="Times New Roman" w:cs="Times New Roman"/>
                <w:sz w:val="24"/>
                <w:szCs w:val="24"/>
              </w:rPr>
              <w:t>pligt/kærlghed-konflikten, trekantsdramaet, syndefaldet, hjemstavnen.</w:t>
            </w:r>
          </w:p>
        </w:tc>
        <w:tc>
          <w:tcPr>
            <w:tcW w:w="4814" w:type="dxa"/>
          </w:tcPr>
          <w:p w14:paraId="78A75005" w14:textId="77777777" w:rsidR="004C3F8E" w:rsidRDefault="004C3F8E" w:rsidP="006C4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Værkets </w:t>
            </w:r>
            <w:r w:rsidRPr="004C3F8E">
              <w:rPr>
                <w:rFonts w:ascii="Times New Roman" w:hAnsi="Times New Roman" w:cs="Times New Roman"/>
                <w:b/>
                <w:sz w:val="24"/>
                <w:szCs w:val="24"/>
              </w:rPr>
              <w:t>grundidé</w:t>
            </w:r>
            <w:r w:rsidR="002967A7">
              <w:rPr>
                <w:rFonts w:ascii="Times New Roman" w:hAnsi="Times New Roman" w:cs="Times New Roman"/>
                <w:sz w:val="24"/>
                <w:szCs w:val="24"/>
              </w:rPr>
              <w:t xml:space="preserve"> eller</w:t>
            </w:r>
            <w:r w:rsidR="0072162D">
              <w:rPr>
                <w:rFonts w:ascii="Times New Roman" w:hAnsi="Times New Roman" w:cs="Times New Roman"/>
                <w:sz w:val="24"/>
                <w:szCs w:val="24"/>
              </w:rPr>
              <w:t xml:space="preserve"> emne, f.eks. kærlighed, krig, jalousi.</w:t>
            </w:r>
          </w:p>
        </w:tc>
      </w:tr>
    </w:tbl>
    <w:p w14:paraId="6C9DCEAE" w14:textId="77777777" w:rsidR="004C3F8E" w:rsidRPr="009A4247" w:rsidRDefault="004C3F8E" w:rsidP="006C4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C3F8E" w:rsidRPr="009A424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B1C4" w14:textId="77777777" w:rsidR="002852C3" w:rsidRDefault="002852C3" w:rsidP="004D1584">
      <w:pPr>
        <w:spacing w:after="0" w:line="240" w:lineRule="auto"/>
      </w:pPr>
      <w:r>
        <w:separator/>
      </w:r>
    </w:p>
  </w:endnote>
  <w:endnote w:type="continuationSeparator" w:id="0">
    <w:p w14:paraId="446F9C4C" w14:textId="77777777" w:rsidR="002852C3" w:rsidRDefault="002852C3" w:rsidP="004D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6487" w14:textId="77777777" w:rsidR="002852C3" w:rsidRDefault="002852C3" w:rsidP="004D1584">
      <w:pPr>
        <w:spacing w:after="0" w:line="240" w:lineRule="auto"/>
      </w:pPr>
      <w:r>
        <w:separator/>
      </w:r>
    </w:p>
  </w:footnote>
  <w:footnote w:type="continuationSeparator" w:id="0">
    <w:p w14:paraId="0DDD59D3" w14:textId="77777777" w:rsidR="002852C3" w:rsidRDefault="002852C3" w:rsidP="004D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85C0" w14:textId="77777777" w:rsidR="004D1584" w:rsidRDefault="004D1584">
    <w:pPr>
      <w:pStyle w:val="Sidehoved"/>
    </w:pPr>
    <w:r>
      <w:t>Dansk/MAL</w:t>
    </w:r>
  </w:p>
  <w:p w14:paraId="532B148E" w14:textId="77777777" w:rsidR="004D1584" w:rsidRDefault="004D1584">
    <w:pPr>
      <w:pStyle w:val="Sidehoved"/>
    </w:pPr>
    <w:r>
      <w:t>Forløb: Barokken og sproget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73DC"/>
    <w:multiLevelType w:val="hybridMultilevel"/>
    <w:tmpl w:val="5D7AA6B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017299"/>
    <w:multiLevelType w:val="hybridMultilevel"/>
    <w:tmpl w:val="700C00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0696D"/>
    <w:multiLevelType w:val="hybridMultilevel"/>
    <w:tmpl w:val="8D187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49649">
    <w:abstractNumId w:val="1"/>
  </w:num>
  <w:num w:numId="2" w16cid:durableId="365912317">
    <w:abstractNumId w:val="2"/>
  </w:num>
  <w:num w:numId="3" w16cid:durableId="69180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47"/>
    <w:rsid w:val="00020818"/>
    <w:rsid w:val="0009065C"/>
    <w:rsid w:val="000B2542"/>
    <w:rsid w:val="000D22F9"/>
    <w:rsid w:val="00222EEF"/>
    <w:rsid w:val="00227CB3"/>
    <w:rsid w:val="00237BBB"/>
    <w:rsid w:val="002852C3"/>
    <w:rsid w:val="002967A7"/>
    <w:rsid w:val="002D4411"/>
    <w:rsid w:val="00333104"/>
    <w:rsid w:val="003A742A"/>
    <w:rsid w:val="004315FB"/>
    <w:rsid w:val="004810B3"/>
    <w:rsid w:val="004972AE"/>
    <w:rsid w:val="004C3F8E"/>
    <w:rsid w:val="004C619E"/>
    <w:rsid w:val="004D1584"/>
    <w:rsid w:val="004E1175"/>
    <w:rsid w:val="005363E6"/>
    <w:rsid w:val="005939C2"/>
    <w:rsid w:val="00687FB2"/>
    <w:rsid w:val="006C47D2"/>
    <w:rsid w:val="00703B90"/>
    <w:rsid w:val="0072162D"/>
    <w:rsid w:val="007E78FD"/>
    <w:rsid w:val="007F28AC"/>
    <w:rsid w:val="008C1391"/>
    <w:rsid w:val="00905376"/>
    <w:rsid w:val="009A4247"/>
    <w:rsid w:val="00A473EE"/>
    <w:rsid w:val="00A90CBD"/>
    <w:rsid w:val="00AC59F3"/>
    <w:rsid w:val="00B27C26"/>
    <w:rsid w:val="00B52AD6"/>
    <w:rsid w:val="00BF18A4"/>
    <w:rsid w:val="00CB087E"/>
    <w:rsid w:val="00CB1040"/>
    <w:rsid w:val="00CF6464"/>
    <w:rsid w:val="00DA76AC"/>
    <w:rsid w:val="00E10A1C"/>
    <w:rsid w:val="00E50D56"/>
    <w:rsid w:val="00F20683"/>
    <w:rsid w:val="00F350E1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EE06"/>
  <w15:chartTrackingRefBased/>
  <w15:docId w15:val="{DAF80B5F-DFD6-49EC-B04A-2C38B61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A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F646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D1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1584"/>
  </w:style>
  <w:style w:type="paragraph" w:styleId="Sidefod">
    <w:name w:val="footer"/>
    <w:basedOn w:val="Normal"/>
    <w:link w:val="SidefodTegn"/>
    <w:uiPriority w:val="99"/>
    <w:unhideWhenUsed/>
    <w:rsid w:val="004D1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736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30</cp:revision>
  <dcterms:created xsi:type="dcterms:W3CDTF">2017-08-24T19:20:00Z</dcterms:created>
  <dcterms:modified xsi:type="dcterms:W3CDTF">2023-08-24T05:56:00Z</dcterms:modified>
</cp:coreProperties>
</file>