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AC30" w14:textId="28C051EB" w:rsidR="009D01A9" w:rsidRDefault="009D01A9" w:rsidP="009D01A9">
      <w:r w:rsidRPr="009D01A9">
        <w:t>Rosa Luxemburg og den tyske revolution</w:t>
      </w:r>
      <w:r>
        <w:t xml:space="preserve"> (i uddrag)</w:t>
      </w:r>
    </w:p>
    <w:p w14:paraId="4A1CFDC2" w14:textId="6188A1F6" w:rsidR="009D01A9" w:rsidRPr="009D01A9" w:rsidRDefault="009D01A9" w:rsidP="009D01A9">
      <w:r>
        <w:t xml:space="preserve">Kilde: </w:t>
      </w:r>
      <w:hyperlink r:id="rId4" w:history="1">
        <w:r>
          <w:rPr>
            <w:rStyle w:val="Hyperlink"/>
          </w:rPr>
          <w:t>marxist.dk</w:t>
        </w:r>
      </w:hyperlink>
    </w:p>
    <w:p w14:paraId="1F088435" w14:textId="08BA3438" w:rsidR="009D01A9" w:rsidRPr="009D01A9" w:rsidRDefault="009D01A9" w:rsidP="009D01A9"/>
    <w:p w14:paraId="24C4A5C5" w14:textId="77777777" w:rsidR="009D01A9" w:rsidRPr="009D01A9" w:rsidRDefault="009D01A9" w:rsidP="009D01A9">
      <w:r w:rsidRPr="009D01A9">
        <w:pict w14:anchorId="4BD33ACF">
          <v:rect id="_x0000_i1049" style="width:465pt;height:0" o:hrpct="0" o:hralign="center" o:hrstd="t" o:hr="t" fillcolor="#a0a0a0" stroked="f"/>
        </w:pict>
      </w:r>
    </w:p>
    <w:p w14:paraId="0955D28A" w14:textId="77777777" w:rsidR="009D01A9" w:rsidRPr="009D01A9" w:rsidRDefault="009D01A9" w:rsidP="009D01A9">
      <w:r w:rsidRPr="009D01A9">
        <w:t>Marie Frederiksen</w:t>
      </w:r>
    </w:p>
    <w:p w14:paraId="3C7A9E92" w14:textId="77777777" w:rsidR="009D01A9" w:rsidRPr="009D01A9" w:rsidRDefault="009D01A9" w:rsidP="009D01A9">
      <w:r w:rsidRPr="009D01A9">
        <w:t>15. januar 2019</w:t>
      </w:r>
    </w:p>
    <w:p w14:paraId="472227D9" w14:textId="77777777" w:rsidR="009D01A9" w:rsidRPr="009D01A9" w:rsidRDefault="009D01A9" w:rsidP="009D01A9">
      <w:r w:rsidRPr="009D01A9">
        <w:pict w14:anchorId="0183FFCE">
          <v:rect id="_x0000_i1050" style="width:5pt;height:9pt" o:hrpct="0" o:hralign="center" o:hrstd="t" o:hr="t" fillcolor="#a0a0a0" stroked="f"/>
        </w:pict>
      </w:r>
    </w:p>
    <w:p w14:paraId="045F7D63" w14:textId="77777777" w:rsidR="009D01A9" w:rsidRPr="009D01A9" w:rsidRDefault="009D01A9" w:rsidP="009D01A9">
      <w:r w:rsidRPr="009D01A9">
        <w:t>Læsetid:</w:t>
      </w:r>
    </w:p>
    <w:p w14:paraId="5E59F25D" w14:textId="77777777" w:rsidR="009D01A9" w:rsidRPr="009D01A9" w:rsidRDefault="009D01A9" w:rsidP="009D01A9">
      <w:r w:rsidRPr="009D01A9">
        <w:t>15 minutter</w:t>
      </w:r>
    </w:p>
    <w:p w14:paraId="3BB3CADA" w14:textId="77777777" w:rsidR="009D01A9" w:rsidRPr="009D01A9" w:rsidRDefault="009D01A9" w:rsidP="009D01A9">
      <w:r w:rsidRPr="009D01A9">
        <w:pict w14:anchorId="3FF924D4">
          <v:rect id="_x0000_i1051" style="width:465pt;height:0" o:hrpct="0" o:hralign="center" o:hrstd="t" o:hr="t" fillcolor="#a0a0a0" stroked="f"/>
        </w:pict>
      </w:r>
    </w:p>
    <w:p w14:paraId="1E1BA231" w14:textId="77777777" w:rsidR="009D01A9" w:rsidRDefault="009D01A9" w:rsidP="009D01A9">
      <w:r>
        <w:t xml:space="preserve">(…) </w:t>
      </w:r>
    </w:p>
    <w:p w14:paraId="62E452C5" w14:textId="68A50772" w:rsidR="009D01A9" w:rsidRPr="009D01A9" w:rsidRDefault="009D01A9" w:rsidP="009D01A9">
      <w:r w:rsidRPr="009D01A9">
        <w:t>For Rosa Luxemburg og spartakisterne var perspektivet klart: De tyske arbejdere måtte følge de russiskes eksempel fra Oktoberrevolutionen i 1917 og tage magten gennem arbejder- og soldaterrådene. For lederne af USPD var det langt mere uklart – de gik med i en regering sammen med SPD, der helt åbenlyst havde som mål at bremse de revolutionære arbejdere og holde revolutionen inden for det borgerlige demokratis rammer.</w:t>
      </w:r>
    </w:p>
    <w:p w14:paraId="6C483AC9" w14:textId="77777777" w:rsidR="009D01A9" w:rsidRPr="009D01A9" w:rsidRDefault="009D01A9" w:rsidP="009D01A9">
      <w:r w:rsidRPr="009D01A9">
        <w:t xml:space="preserve">Spartakisterne fremførte, at </w:t>
      </w:r>
      <w:proofErr w:type="spellStart"/>
      <w:r w:rsidRPr="009D01A9">
        <w:t>USPD’s</w:t>
      </w:r>
      <w:proofErr w:type="spellEnd"/>
      <w:r w:rsidRPr="009D01A9">
        <w:t xml:space="preserve"> ledelse måtte indkalde en ny partikongres, der kunne diskutere perspektivet. Spartakisterne var overbeviste om, at de ville få flertal på kongressen. Men af samme årsag nægtede lederne af USPD at indkalde den. Til sidst stillede spartakisterne et ultimatum om en ny kongres, og da det ikke blev efterkommet, splittede de ud og dannede på nytårsdag 1918/19 Tysklands Kommunistiske Parti, KPD.</w:t>
      </w:r>
    </w:p>
    <w:p w14:paraId="79E6EB10" w14:textId="77777777" w:rsidR="009D01A9" w:rsidRDefault="009D01A9" w:rsidP="009D01A9">
      <w:pPr>
        <w:rPr>
          <w:b/>
          <w:bCs/>
        </w:rPr>
      </w:pPr>
      <w:r>
        <w:rPr>
          <w:b/>
          <w:bCs/>
        </w:rPr>
        <w:t xml:space="preserve">(…) </w:t>
      </w:r>
    </w:p>
    <w:p w14:paraId="382839C2" w14:textId="454B6ED0" w:rsidR="009D01A9" w:rsidRPr="009D01A9" w:rsidRDefault="009D01A9" w:rsidP="009D01A9">
      <w:pPr>
        <w:rPr>
          <w:b/>
          <w:bCs/>
        </w:rPr>
      </w:pPr>
      <w:r w:rsidRPr="009D01A9">
        <w:rPr>
          <w:b/>
          <w:bCs/>
        </w:rPr>
        <w:t>Nationalforsamlingen og fagforeningerne</w:t>
      </w:r>
    </w:p>
    <w:p w14:paraId="7A3C8750" w14:textId="77777777" w:rsidR="009D01A9" w:rsidRPr="009D01A9" w:rsidRDefault="009D01A9" w:rsidP="009D01A9">
      <w:r w:rsidRPr="009D01A9">
        <w:t>Rosa Luxemburg og ledelsen i KPD fremførte behovet for at vinde masserne over til det revolutionære program, men de unge kommunister forstod ikke behovet. Det kom til udtryk i to diskussioner på den stiftende kongres: om deltagelse i valget til Nationalforsamlingen og om deltagelse i fagforeningerne.</w:t>
      </w:r>
    </w:p>
    <w:p w14:paraId="217161BF" w14:textId="77777777" w:rsidR="009D01A9" w:rsidRDefault="009D01A9" w:rsidP="009D01A9">
      <w:pPr>
        <w:rPr>
          <w:b/>
          <w:bCs/>
        </w:rPr>
      </w:pPr>
      <w:r>
        <w:rPr>
          <w:b/>
          <w:bCs/>
        </w:rPr>
        <w:t xml:space="preserve">(…) </w:t>
      </w:r>
    </w:p>
    <w:p w14:paraId="7CF55534" w14:textId="19AD1E55" w:rsidR="009D01A9" w:rsidRPr="009D01A9" w:rsidRDefault="009D01A9" w:rsidP="009D01A9">
      <w:pPr>
        <w:rPr>
          <w:b/>
          <w:bCs/>
        </w:rPr>
      </w:pPr>
      <w:proofErr w:type="spellStart"/>
      <w:r w:rsidRPr="009D01A9">
        <w:rPr>
          <w:b/>
          <w:bCs/>
        </w:rPr>
        <w:t>Spartakusoprøret</w:t>
      </w:r>
      <w:proofErr w:type="spellEnd"/>
    </w:p>
    <w:p w14:paraId="6AD2AF8A" w14:textId="77777777" w:rsidR="009D01A9" w:rsidRPr="009D01A9" w:rsidRDefault="009D01A9" w:rsidP="009D01A9">
      <w:r w:rsidRPr="009D01A9">
        <w:t>End ikke en uge efter sin stiftelse blev partiet kastet ud i det, der blev kendt som “</w:t>
      </w:r>
      <w:proofErr w:type="spellStart"/>
      <w:r w:rsidRPr="009D01A9">
        <w:t>Spartakusoprøret</w:t>
      </w:r>
      <w:proofErr w:type="spellEnd"/>
      <w:r w:rsidRPr="009D01A9">
        <w:t xml:space="preserve">”. Titlen var misvisende – oprøret var hverken startet eller styret af </w:t>
      </w:r>
      <w:r w:rsidRPr="009D01A9">
        <w:lastRenderedPageBreak/>
        <w:t xml:space="preserve">spartakisterne. Oprøret startede som en protest mod fyringen af Berlins politimester, Emil </w:t>
      </w:r>
      <w:proofErr w:type="spellStart"/>
      <w:r w:rsidRPr="009D01A9">
        <w:t>Eichhorn</w:t>
      </w:r>
      <w:proofErr w:type="spellEnd"/>
      <w:r w:rsidRPr="009D01A9">
        <w:t xml:space="preserve">. </w:t>
      </w:r>
      <w:proofErr w:type="spellStart"/>
      <w:r w:rsidRPr="009D01A9">
        <w:t>Eichhorn</w:t>
      </w:r>
      <w:proofErr w:type="spellEnd"/>
      <w:r w:rsidRPr="009D01A9">
        <w:t xml:space="preserve"> var medlem af USPD, og de berlinske arbejdere så ham som deres mand. USPD var kort forinden gået ud af regeringen, og SPD ønskede ikke at have </w:t>
      </w:r>
      <w:proofErr w:type="spellStart"/>
      <w:r w:rsidRPr="009D01A9">
        <w:t>Eichhorn</w:t>
      </w:r>
      <w:proofErr w:type="spellEnd"/>
      <w:r w:rsidRPr="009D01A9">
        <w:t xml:space="preserve"> siddende på posten med flere tusinde bevæbnede mænd under sig. Desuden brugte SPD anledningen som en provokation mod de berlinske arbejdere.</w:t>
      </w:r>
    </w:p>
    <w:p w14:paraId="2FA52085" w14:textId="77777777" w:rsidR="009D01A9" w:rsidRPr="009D01A9" w:rsidRDefault="009D01A9" w:rsidP="009D01A9">
      <w:r w:rsidRPr="009D01A9">
        <w:t>SPD håbede at fremprovokere en bevægelse i Berlin, før arbejderne i resten af Tyskland var parate til at følge dem. På den måde håbede de at kunne knuse de mest radikale lag i Berlin og dermed revolutionen. Det var udtryk for utålmodigheden blandt den tyske herskende klasse, der var trætte af den revolutionære uro. SPD var mere end villige til at efterkomme ønsket, og sammen med hærens generalstab planlagde de en kontrarevolutionær modoffensiv.</w:t>
      </w:r>
    </w:p>
    <w:p w14:paraId="6CDD4AA2" w14:textId="77777777" w:rsidR="009D01A9" w:rsidRPr="009D01A9" w:rsidRDefault="009D01A9" w:rsidP="009D01A9">
      <w:r w:rsidRPr="009D01A9">
        <w:t>Provokationen lykkedes. Arbejderne i Berlin gik på gaden. Også blandt arbejderne i Berlin herskede en utålmodighed over, at tingene ikke bevægede sig fremad. Som Luxemburg havde forudsagt, bevægede revolutionen sig ind i en ny fase. I tre dage var hundredtusindvis af arbejdere, soldater, kvinder og børn samlet på gaderne i Berlin. Flere bygninger blev besat. Men her blev manglen på ledelse for alvor tydelig. Masserne kan ikke være mobiliseret i det uendelige uden en retning og en plan – og her er ledelse afgørende.</w:t>
      </w:r>
    </w:p>
    <w:p w14:paraId="0B09E35D" w14:textId="0A8D072C" w:rsidR="009D01A9" w:rsidRPr="009D01A9" w:rsidRDefault="009D01A9" w:rsidP="009D01A9">
      <w:r>
        <w:t xml:space="preserve">(…) </w:t>
      </w:r>
      <w:r w:rsidRPr="009D01A9">
        <w:t>Problemet var, at den revolutionære komité var totalt uforberedt. Ingen i komitéen havde nogen plan for, hvad de skulle foreslå. Imens organiserede SPD og generalstaben kontrarevolutionære styrker i bl.a. frikorps, der blev sat ind mod arbejderne, og det kom til blodige sammenstød.</w:t>
      </w:r>
    </w:p>
    <w:p w14:paraId="1564147F" w14:textId="77777777" w:rsidR="009D01A9" w:rsidRPr="009D01A9" w:rsidRDefault="009D01A9" w:rsidP="009D01A9">
      <w:r w:rsidRPr="009D01A9">
        <w:t>Men dag efter dag debatterede de revolutionære uden at fremkomme med noget forslag til handling. Til sidst gik arbejderne hjem. De voldelige sammenstød fortsatte i gaderne.</w:t>
      </w:r>
    </w:p>
    <w:p w14:paraId="3B730379" w14:textId="77777777" w:rsidR="009D01A9" w:rsidRPr="009D01A9" w:rsidRDefault="009D01A9" w:rsidP="009D01A9">
      <w:r w:rsidRPr="009D01A9">
        <w:t>Det var tydeligt, at kontrarevolutionen havde overhånden for nu. Arbejderne i Berlin kunne ikke vinde alene. Selvom Luxemburg og ledelsen for KPD kunne se dette og forstod, at det var nødvendigt med en ordnet tilbagetrækning, undlod de at sige det åbent, fordi de mente, at det ville styrke USPD, der havde indledt forhandlinger med regeringen. Resultatet var, at tabene blev større end nødvendigt, og KPD havde mistet en vigtig mulighed for at hæve arbejdernes bevidsthed og vinde dem over.</w:t>
      </w:r>
    </w:p>
    <w:p w14:paraId="4659050C" w14:textId="77777777" w:rsidR="009D01A9" w:rsidRPr="009D01A9" w:rsidRDefault="009D01A9" w:rsidP="009D01A9">
      <w:pPr>
        <w:rPr>
          <w:b/>
          <w:bCs/>
        </w:rPr>
      </w:pPr>
      <w:r w:rsidRPr="009D01A9">
        <w:rPr>
          <w:b/>
          <w:bCs/>
        </w:rPr>
        <w:t>Mord</w:t>
      </w:r>
    </w:p>
    <w:p w14:paraId="60237579" w14:textId="26C90464" w:rsidR="009D01A9" w:rsidRPr="009D01A9" w:rsidRDefault="009D01A9" w:rsidP="009D01A9">
      <w:r w:rsidRPr="009D01A9">
        <w:t xml:space="preserve">En heksejagt blev sat ind mod revolutionens ledere. Rosa Luxemburg og Karl Liebknecht var de mest kendte af </w:t>
      </w:r>
      <w:proofErr w:type="spellStart"/>
      <w:r w:rsidRPr="009D01A9">
        <w:t>KPD’s</w:t>
      </w:r>
      <w:proofErr w:type="spellEnd"/>
      <w:r w:rsidRPr="009D01A9">
        <w:t xml:space="preserve"> ledere, og der blev udlovet en dusør på deres hoveder. </w:t>
      </w:r>
      <w:r>
        <w:t>(…)</w:t>
      </w:r>
    </w:p>
    <w:p w14:paraId="6034C05F" w14:textId="5F58D6AF" w:rsidR="009D01A9" w:rsidRPr="009D01A9" w:rsidRDefault="009D01A9" w:rsidP="009D01A9"/>
    <w:p w14:paraId="62C4D8AC" w14:textId="77777777" w:rsidR="009D01A9" w:rsidRPr="009D01A9" w:rsidRDefault="009D01A9" w:rsidP="009D01A9">
      <w:r w:rsidRPr="009D01A9">
        <w:t xml:space="preserve">Selvom de var klar over faren, nægtede Luxemburg og Liebknecht at forlade Berlin og gå rigtigt i skjul. De følte, at det var deres pligt at blive hos arbejderne. Det skulle blive skæbnesvangert: Om aftenen den 15. januar blev de fundet af det reaktionære frikorps i en sympatisørs </w:t>
      </w:r>
      <w:r w:rsidRPr="009D01A9">
        <w:lastRenderedPageBreak/>
        <w:t xml:space="preserve">lejlighed. De blev ført til Hotel Eden, frikorpsets hovedkvarter, hvor de begge fik en hård medfart. Liebknecht blev ført ud først. På vej ud fik han et slag i baghovedet med en geværkolbe. Han blev kørt til parken </w:t>
      </w:r>
      <w:proofErr w:type="spellStart"/>
      <w:r w:rsidRPr="009D01A9">
        <w:t>Tiergarten</w:t>
      </w:r>
      <w:proofErr w:type="spellEnd"/>
      <w:r w:rsidRPr="009D01A9">
        <w:t>, hvor han blev skudt. Bagefter lød soldaternes historie, at han var blevet dræbt “under flugtforsøg”.</w:t>
      </w:r>
    </w:p>
    <w:p w14:paraId="34B9285C" w14:textId="77777777" w:rsidR="009D01A9" w:rsidRPr="009D01A9" w:rsidRDefault="009D01A9" w:rsidP="009D01A9">
      <w:r w:rsidRPr="009D01A9">
        <w:t xml:space="preserve">Luxemburg blev efterfølgende ført ud. Også hun fik også et slag i baghovedet, og da hun var blevet ført ind i en ventende bil, blev hun skudt i hovedet. Hendes lig blev smidt i </w:t>
      </w:r>
      <w:proofErr w:type="spellStart"/>
      <w:r w:rsidRPr="009D01A9">
        <w:t>Landwehrkanalen</w:t>
      </w:r>
      <w:proofErr w:type="spellEnd"/>
      <w:r w:rsidRPr="009D01A9">
        <w:t xml:space="preserve"> i </w:t>
      </w:r>
      <w:proofErr w:type="spellStart"/>
      <w:r w:rsidRPr="009D01A9">
        <w:t>Tiergarten</w:t>
      </w:r>
      <w:proofErr w:type="spellEnd"/>
      <w:r w:rsidRPr="009D01A9">
        <w:t xml:space="preserve"> og blev først fundet i slutningen af maj måned. Ingen blev for alvor stillet til ansvar for mordene.</w:t>
      </w:r>
    </w:p>
    <w:sectPr w:rsidR="009D01A9" w:rsidRPr="009D01A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A9"/>
    <w:rsid w:val="009048DE"/>
    <w:rsid w:val="009D01A9"/>
    <w:rsid w:val="00FF73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FC00"/>
  <w15:chartTrackingRefBased/>
  <w15:docId w15:val="{5DF7CA10-0293-4B3A-ABE7-7FC1464B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0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D0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D01A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01A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01A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01A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01A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01A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01A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D01A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D01A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D01A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D01A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D01A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D01A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D01A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D01A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D01A9"/>
    <w:rPr>
      <w:rFonts w:eastAsiaTheme="majorEastAsia" w:cstheme="majorBidi"/>
      <w:color w:val="272727" w:themeColor="text1" w:themeTint="D8"/>
    </w:rPr>
  </w:style>
  <w:style w:type="paragraph" w:styleId="Titel">
    <w:name w:val="Title"/>
    <w:basedOn w:val="Normal"/>
    <w:next w:val="Normal"/>
    <w:link w:val="TitelTegn"/>
    <w:uiPriority w:val="10"/>
    <w:qFormat/>
    <w:rsid w:val="009D0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D01A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D01A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D01A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D01A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D01A9"/>
    <w:rPr>
      <w:i/>
      <w:iCs/>
      <w:color w:val="404040" w:themeColor="text1" w:themeTint="BF"/>
    </w:rPr>
  </w:style>
  <w:style w:type="paragraph" w:styleId="Listeafsnit">
    <w:name w:val="List Paragraph"/>
    <w:basedOn w:val="Normal"/>
    <w:uiPriority w:val="34"/>
    <w:qFormat/>
    <w:rsid w:val="009D01A9"/>
    <w:pPr>
      <w:ind w:left="720"/>
      <w:contextualSpacing/>
    </w:pPr>
  </w:style>
  <w:style w:type="character" w:styleId="Kraftigfremhvning">
    <w:name w:val="Intense Emphasis"/>
    <w:basedOn w:val="Standardskrifttypeiafsnit"/>
    <w:uiPriority w:val="21"/>
    <w:qFormat/>
    <w:rsid w:val="009D01A9"/>
    <w:rPr>
      <w:i/>
      <w:iCs/>
      <w:color w:val="0F4761" w:themeColor="accent1" w:themeShade="BF"/>
    </w:rPr>
  </w:style>
  <w:style w:type="paragraph" w:styleId="Strktcitat">
    <w:name w:val="Intense Quote"/>
    <w:basedOn w:val="Normal"/>
    <w:next w:val="Normal"/>
    <w:link w:val="StrktcitatTegn"/>
    <w:uiPriority w:val="30"/>
    <w:qFormat/>
    <w:rsid w:val="009D0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D01A9"/>
    <w:rPr>
      <w:i/>
      <w:iCs/>
      <w:color w:val="0F4761" w:themeColor="accent1" w:themeShade="BF"/>
    </w:rPr>
  </w:style>
  <w:style w:type="character" w:styleId="Kraftighenvisning">
    <w:name w:val="Intense Reference"/>
    <w:basedOn w:val="Standardskrifttypeiafsnit"/>
    <w:uiPriority w:val="32"/>
    <w:qFormat/>
    <w:rsid w:val="009D01A9"/>
    <w:rPr>
      <w:b/>
      <w:bCs/>
      <w:smallCaps/>
      <w:color w:val="0F4761" w:themeColor="accent1" w:themeShade="BF"/>
      <w:spacing w:val="5"/>
    </w:rPr>
  </w:style>
  <w:style w:type="character" w:styleId="Hyperlink">
    <w:name w:val="Hyperlink"/>
    <w:basedOn w:val="Standardskrifttypeiafsnit"/>
    <w:uiPriority w:val="99"/>
    <w:unhideWhenUsed/>
    <w:rsid w:val="009D01A9"/>
    <w:rPr>
      <w:color w:val="467886" w:themeColor="hyperlink"/>
      <w:u w:val="single"/>
    </w:rPr>
  </w:style>
  <w:style w:type="character" w:styleId="Ulstomtale">
    <w:name w:val="Unresolved Mention"/>
    <w:basedOn w:val="Standardskrifttypeiafsnit"/>
    <w:uiPriority w:val="99"/>
    <w:semiHidden/>
    <w:unhideWhenUsed/>
    <w:rsid w:val="009D0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1049">
      <w:bodyDiv w:val="1"/>
      <w:marLeft w:val="0"/>
      <w:marRight w:val="0"/>
      <w:marTop w:val="0"/>
      <w:marBottom w:val="0"/>
      <w:divBdr>
        <w:top w:val="none" w:sz="0" w:space="0" w:color="auto"/>
        <w:left w:val="none" w:sz="0" w:space="0" w:color="auto"/>
        <w:bottom w:val="none" w:sz="0" w:space="0" w:color="auto"/>
        <w:right w:val="none" w:sz="0" w:space="0" w:color="auto"/>
      </w:divBdr>
      <w:divsChild>
        <w:div w:id="1471704101">
          <w:marLeft w:val="0"/>
          <w:marRight w:val="0"/>
          <w:marTop w:val="0"/>
          <w:marBottom w:val="0"/>
          <w:divBdr>
            <w:top w:val="none" w:sz="0" w:space="0" w:color="auto"/>
            <w:left w:val="none" w:sz="0" w:space="0" w:color="auto"/>
            <w:bottom w:val="none" w:sz="0" w:space="0" w:color="auto"/>
            <w:right w:val="none" w:sz="0" w:space="0" w:color="auto"/>
          </w:divBdr>
          <w:divsChild>
            <w:div w:id="1218201344">
              <w:marLeft w:val="0"/>
              <w:marRight w:val="0"/>
              <w:marTop w:val="0"/>
              <w:marBottom w:val="0"/>
              <w:divBdr>
                <w:top w:val="none" w:sz="0" w:space="0" w:color="auto"/>
                <w:left w:val="none" w:sz="0" w:space="0" w:color="auto"/>
                <w:bottom w:val="none" w:sz="0" w:space="0" w:color="auto"/>
                <w:right w:val="none" w:sz="0" w:space="0" w:color="auto"/>
              </w:divBdr>
              <w:divsChild>
                <w:div w:id="1174414914">
                  <w:marLeft w:val="0"/>
                  <w:marRight w:val="0"/>
                  <w:marTop w:val="0"/>
                  <w:marBottom w:val="0"/>
                  <w:divBdr>
                    <w:top w:val="none" w:sz="0" w:space="0" w:color="auto"/>
                    <w:left w:val="none" w:sz="0" w:space="0" w:color="auto"/>
                    <w:bottom w:val="none" w:sz="0" w:space="0" w:color="auto"/>
                    <w:right w:val="none" w:sz="0" w:space="0" w:color="auto"/>
                  </w:divBdr>
                  <w:divsChild>
                    <w:div w:id="21236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09554">
          <w:marLeft w:val="0"/>
          <w:marRight w:val="0"/>
          <w:marTop w:val="0"/>
          <w:marBottom w:val="0"/>
          <w:divBdr>
            <w:top w:val="none" w:sz="0" w:space="0" w:color="auto"/>
            <w:left w:val="none" w:sz="0" w:space="0" w:color="auto"/>
            <w:bottom w:val="none" w:sz="0" w:space="0" w:color="auto"/>
            <w:right w:val="none" w:sz="0" w:space="0" w:color="auto"/>
          </w:divBdr>
          <w:divsChild>
            <w:div w:id="229198051">
              <w:marLeft w:val="0"/>
              <w:marRight w:val="0"/>
              <w:marTop w:val="0"/>
              <w:marBottom w:val="0"/>
              <w:divBdr>
                <w:top w:val="none" w:sz="0" w:space="0" w:color="auto"/>
                <w:left w:val="none" w:sz="0" w:space="0" w:color="auto"/>
                <w:bottom w:val="none" w:sz="0" w:space="0" w:color="auto"/>
                <w:right w:val="none" w:sz="0" w:space="0" w:color="auto"/>
              </w:divBdr>
              <w:divsChild>
                <w:div w:id="1937135539">
                  <w:marLeft w:val="0"/>
                  <w:marRight w:val="0"/>
                  <w:marTop w:val="0"/>
                  <w:marBottom w:val="0"/>
                  <w:divBdr>
                    <w:top w:val="none" w:sz="0" w:space="0" w:color="auto"/>
                    <w:left w:val="none" w:sz="0" w:space="0" w:color="auto"/>
                    <w:bottom w:val="none" w:sz="0" w:space="0" w:color="auto"/>
                    <w:right w:val="none" w:sz="0" w:space="0" w:color="auto"/>
                  </w:divBdr>
                  <w:divsChild>
                    <w:div w:id="1450124398">
                      <w:marLeft w:val="0"/>
                      <w:marRight w:val="0"/>
                      <w:marTop w:val="0"/>
                      <w:marBottom w:val="0"/>
                      <w:divBdr>
                        <w:top w:val="none" w:sz="0" w:space="0" w:color="auto"/>
                        <w:left w:val="none" w:sz="0" w:space="0" w:color="auto"/>
                        <w:bottom w:val="none" w:sz="0" w:space="0" w:color="auto"/>
                        <w:right w:val="none" w:sz="0" w:space="0" w:color="auto"/>
                      </w:divBdr>
                      <w:divsChild>
                        <w:div w:id="2125615172">
                          <w:marLeft w:val="0"/>
                          <w:marRight w:val="0"/>
                          <w:marTop w:val="0"/>
                          <w:marBottom w:val="0"/>
                          <w:divBdr>
                            <w:top w:val="none" w:sz="0" w:space="0" w:color="auto"/>
                            <w:left w:val="none" w:sz="0" w:space="0" w:color="auto"/>
                            <w:bottom w:val="none" w:sz="0" w:space="0" w:color="auto"/>
                            <w:right w:val="none" w:sz="0" w:space="0" w:color="auto"/>
                          </w:divBdr>
                          <w:divsChild>
                            <w:div w:id="1622611207">
                              <w:marLeft w:val="0"/>
                              <w:marRight w:val="0"/>
                              <w:marTop w:val="0"/>
                              <w:marBottom w:val="0"/>
                              <w:divBdr>
                                <w:top w:val="none" w:sz="0" w:space="0" w:color="auto"/>
                                <w:left w:val="none" w:sz="0" w:space="0" w:color="auto"/>
                                <w:bottom w:val="none" w:sz="0" w:space="0" w:color="auto"/>
                                <w:right w:val="none" w:sz="0" w:space="0" w:color="auto"/>
                              </w:divBdr>
                            </w:div>
                            <w:div w:id="11497821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25867630">
                      <w:marLeft w:val="0"/>
                      <w:marRight w:val="0"/>
                      <w:marTop w:val="0"/>
                      <w:marBottom w:val="0"/>
                      <w:divBdr>
                        <w:top w:val="none" w:sz="0" w:space="0" w:color="auto"/>
                        <w:left w:val="none" w:sz="0" w:space="0" w:color="auto"/>
                        <w:bottom w:val="none" w:sz="0" w:space="0" w:color="auto"/>
                        <w:right w:val="none" w:sz="0" w:space="0" w:color="auto"/>
                      </w:divBdr>
                      <w:divsChild>
                        <w:div w:id="713578573">
                          <w:marLeft w:val="0"/>
                          <w:marRight w:val="0"/>
                          <w:marTop w:val="0"/>
                          <w:marBottom w:val="0"/>
                          <w:divBdr>
                            <w:top w:val="none" w:sz="0" w:space="0" w:color="auto"/>
                            <w:left w:val="none" w:sz="0" w:space="0" w:color="auto"/>
                            <w:bottom w:val="none" w:sz="0" w:space="0" w:color="auto"/>
                            <w:right w:val="none" w:sz="0" w:space="0" w:color="auto"/>
                          </w:divBdr>
                          <w:divsChild>
                            <w:div w:id="767576395">
                              <w:marLeft w:val="0"/>
                              <w:marRight w:val="0"/>
                              <w:marTop w:val="75"/>
                              <w:marBottom w:val="0"/>
                              <w:divBdr>
                                <w:top w:val="none" w:sz="0" w:space="0" w:color="auto"/>
                                <w:left w:val="none" w:sz="0" w:space="0" w:color="auto"/>
                                <w:bottom w:val="none" w:sz="0" w:space="0" w:color="auto"/>
                                <w:right w:val="none" w:sz="0" w:space="0" w:color="auto"/>
                              </w:divBdr>
                            </w:div>
                            <w:div w:id="1230995036">
                              <w:marLeft w:val="0"/>
                              <w:marRight w:val="0"/>
                              <w:marTop w:val="0"/>
                              <w:marBottom w:val="0"/>
                              <w:divBdr>
                                <w:top w:val="none" w:sz="0" w:space="0" w:color="auto"/>
                                <w:left w:val="none" w:sz="0" w:space="0" w:color="auto"/>
                                <w:bottom w:val="none" w:sz="0" w:space="0" w:color="auto"/>
                                <w:right w:val="none" w:sz="0" w:space="0" w:color="auto"/>
                              </w:divBdr>
                              <w:divsChild>
                                <w:div w:id="17216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5124">
      <w:bodyDiv w:val="1"/>
      <w:marLeft w:val="0"/>
      <w:marRight w:val="0"/>
      <w:marTop w:val="0"/>
      <w:marBottom w:val="0"/>
      <w:divBdr>
        <w:top w:val="none" w:sz="0" w:space="0" w:color="auto"/>
        <w:left w:val="none" w:sz="0" w:space="0" w:color="auto"/>
        <w:bottom w:val="none" w:sz="0" w:space="0" w:color="auto"/>
        <w:right w:val="none" w:sz="0" w:space="0" w:color="auto"/>
      </w:divBdr>
      <w:divsChild>
        <w:div w:id="1588735039">
          <w:marLeft w:val="0"/>
          <w:marRight w:val="0"/>
          <w:marTop w:val="0"/>
          <w:marBottom w:val="0"/>
          <w:divBdr>
            <w:top w:val="none" w:sz="0" w:space="0" w:color="auto"/>
            <w:left w:val="none" w:sz="0" w:space="0" w:color="auto"/>
            <w:bottom w:val="none" w:sz="0" w:space="0" w:color="auto"/>
            <w:right w:val="none" w:sz="0" w:space="0" w:color="auto"/>
          </w:divBdr>
          <w:divsChild>
            <w:div w:id="1887987365">
              <w:marLeft w:val="0"/>
              <w:marRight w:val="0"/>
              <w:marTop w:val="0"/>
              <w:marBottom w:val="0"/>
              <w:divBdr>
                <w:top w:val="none" w:sz="0" w:space="0" w:color="auto"/>
                <w:left w:val="none" w:sz="0" w:space="0" w:color="auto"/>
                <w:bottom w:val="none" w:sz="0" w:space="0" w:color="auto"/>
                <w:right w:val="none" w:sz="0" w:space="0" w:color="auto"/>
              </w:divBdr>
              <w:divsChild>
                <w:div w:id="128518000">
                  <w:marLeft w:val="0"/>
                  <w:marRight w:val="0"/>
                  <w:marTop w:val="0"/>
                  <w:marBottom w:val="0"/>
                  <w:divBdr>
                    <w:top w:val="none" w:sz="0" w:space="0" w:color="auto"/>
                    <w:left w:val="none" w:sz="0" w:space="0" w:color="auto"/>
                    <w:bottom w:val="none" w:sz="0" w:space="0" w:color="auto"/>
                    <w:right w:val="none" w:sz="0" w:space="0" w:color="auto"/>
                  </w:divBdr>
                  <w:divsChild>
                    <w:div w:id="3917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0593">
          <w:marLeft w:val="0"/>
          <w:marRight w:val="0"/>
          <w:marTop w:val="0"/>
          <w:marBottom w:val="0"/>
          <w:divBdr>
            <w:top w:val="none" w:sz="0" w:space="0" w:color="auto"/>
            <w:left w:val="none" w:sz="0" w:space="0" w:color="auto"/>
            <w:bottom w:val="none" w:sz="0" w:space="0" w:color="auto"/>
            <w:right w:val="none" w:sz="0" w:space="0" w:color="auto"/>
          </w:divBdr>
          <w:divsChild>
            <w:div w:id="1976373128">
              <w:marLeft w:val="0"/>
              <w:marRight w:val="0"/>
              <w:marTop w:val="0"/>
              <w:marBottom w:val="0"/>
              <w:divBdr>
                <w:top w:val="none" w:sz="0" w:space="0" w:color="auto"/>
                <w:left w:val="none" w:sz="0" w:space="0" w:color="auto"/>
                <w:bottom w:val="none" w:sz="0" w:space="0" w:color="auto"/>
                <w:right w:val="none" w:sz="0" w:space="0" w:color="auto"/>
              </w:divBdr>
              <w:divsChild>
                <w:div w:id="1248265429">
                  <w:marLeft w:val="0"/>
                  <w:marRight w:val="0"/>
                  <w:marTop w:val="0"/>
                  <w:marBottom w:val="0"/>
                  <w:divBdr>
                    <w:top w:val="none" w:sz="0" w:space="0" w:color="auto"/>
                    <w:left w:val="none" w:sz="0" w:space="0" w:color="auto"/>
                    <w:bottom w:val="none" w:sz="0" w:space="0" w:color="auto"/>
                    <w:right w:val="none" w:sz="0" w:space="0" w:color="auto"/>
                  </w:divBdr>
                  <w:divsChild>
                    <w:div w:id="1460300408">
                      <w:marLeft w:val="0"/>
                      <w:marRight w:val="0"/>
                      <w:marTop w:val="0"/>
                      <w:marBottom w:val="0"/>
                      <w:divBdr>
                        <w:top w:val="none" w:sz="0" w:space="0" w:color="auto"/>
                        <w:left w:val="none" w:sz="0" w:space="0" w:color="auto"/>
                        <w:bottom w:val="none" w:sz="0" w:space="0" w:color="auto"/>
                        <w:right w:val="none" w:sz="0" w:space="0" w:color="auto"/>
                      </w:divBdr>
                      <w:divsChild>
                        <w:div w:id="1501895828">
                          <w:marLeft w:val="0"/>
                          <w:marRight w:val="0"/>
                          <w:marTop w:val="0"/>
                          <w:marBottom w:val="0"/>
                          <w:divBdr>
                            <w:top w:val="none" w:sz="0" w:space="0" w:color="auto"/>
                            <w:left w:val="none" w:sz="0" w:space="0" w:color="auto"/>
                            <w:bottom w:val="none" w:sz="0" w:space="0" w:color="auto"/>
                            <w:right w:val="none" w:sz="0" w:space="0" w:color="auto"/>
                          </w:divBdr>
                          <w:divsChild>
                            <w:div w:id="226040983">
                              <w:marLeft w:val="0"/>
                              <w:marRight w:val="0"/>
                              <w:marTop w:val="0"/>
                              <w:marBottom w:val="0"/>
                              <w:divBdr>
                                <w:top w:val="none" w:sz="0" w:space="0" w:color="auto"/>
                                <w:left w:val="none" w:sz="0" w:space="0" w:color="auto"/>
                                <w:bottom w:val="none" w:sz="0" w:space="0" w:color="auto"/>
                                <w:right w:val="none" w:sz="0" w:space="0" w:color="auto"/>
                              </w:divBdr>
                            </w:div>
                            <w:div w:id="15125741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2917675">
                      <w:marLeft w:val="0"/>
                      <w:marRight w:val="0"/>
                      <w:marTop w:val="0"/>
                      <w:marBottom w:val="0"/>
                      <w:divBdr>
                        <w:top w:val="none" w:sz="0" w:space="0" w:color="auto"/>
                        <w:left w:val="none" w:sz="0" w:space="0" w:color="auto"/>
                        <w:bottom w:val="none" w:sz="0" w:space="0" w:color="auto"/>
                        <w:right w:val="none" w:sz="0" w:space="0" w:color="auto"/>
                      </w:divBdr>
                      <w:divsChild>
                        <w:div w:id="1706708577">
                          <w:marLeft w:val="0"/>
                          <w:marRight w:val="0"/>
                          <w:marTop w:val="0"/>
                          <w:marBottom w:val="0"/>
                          <w:divBdr>
                            <w:top w:val="none" w:sz="0" w:space="0" w:color="auto"/>
                            <w:left w:val="none" w:sz="0" w:space="0" w:color="auto"/>
                            <w:bottom w:val="none" w:sz="0" w:space="0" w:color="auto"/>
                            <w:right w:val="none" w:sz="0" w:space="0" w:color="auto"/>
                          </w:divBdr>
                          <w:divsChild>
                            <w:div w:id="574516451">
                              <w:marLeft w:val="0"/>
                              <w:marRight w:val="0"/>
                              <w:marTop w:val="75"/>
                              <w:marBottom w:val="0"/>
                              <w:divBdr>
                                <w:top w:val="none" w:sz="0" w:space="0" w:color="auto"/>
                                <w:left w:val="none" w:sz="0" w:space="0" w:color="auto"/>
                                <w:bottom w:val="none" w:sz="0" w:space="0" w:color="auto"/>
                                <w:right w:val="none" w:sz="0" w:space="0" w:color="auto"/>
                              </w:divBdr>
                            </w:div>
                            <w:div w:id="205722441">
                              <w:marLeft w:val="0"/>
                              <w:marRight w:val="0"/>
                              <w:marTop w:val="0"/>
                              <w:marBottom w:val="0"/>
                              <w:divBdr>
                                <w:top w:val="none" w:sz="0" w:space="0" w:color="auto"/>
                                <w:left w:val="none" w:sz="0" w:space="0" w:color="auto"/>
                                <w:bottom w:val="none" w:sz="0" w:space="0" w:color="auto"/>
                                <w:right w:val="none" w:sz="0" w:space="0" w:color="auto"/>
                              </w:divBdr>
                              <w:divsChild>
                                <w:div w:id="17307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rxist.dk/rosa-luxemburg-og-den-tyske-revolu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706</Words>
  <Characters>4313</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2025-02-27T08:07:00Z</dcterms:created>
  <dcterms:modified xsi:type="dcterms:W3CDTF">2025-02-27T08:16:00Z</dcterms:modified>
</cp:coreProperties>
</file>