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92B0" w14:textId="2F826451" w:rsidR="00435170" w:rsidRDefault="00435170" w:rsidP="00435170">
      <w:pPr>
        <w:spacing w:line="259" w:lineRule="auto"/>
        <w:rPr>
          <w:b/>
        </w:rPr>
      </w:pPr>
      <w:proofErr w:type="spellStart"/>
      <w:r>
        <w:rPr>
          <w:b/>
        </w:rPr>
        <w:t>Caseanalyse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Eastons</w:t>
      </w:r>
      <w:proofErr w:type="spellEnd"/>
      <w:r>
        <w:rPr>
          <w:b/>
        </w:rPr>
        <w:t xml:space="preserve"> model</w:t>
      </w:r>
    </w:p>
    <w:p w14:paraId="25EEF6C6" w14:textId="77777777" w:rsidR="0099663B" w:rsidRDefault="0099663B" w:rsidP="00435170">
      <w:pPr>
        <w:spacing w:line="259" w:lineRule="auto"/>
        <w:rPr>
          <w:b/>
        </w:rPr>
      </w:pPr>
    </w:p>
    <w:p w14:paraId="5C34CC44" w14:textId="58F407EE" w:rsidR="0099663B" w:rsidRPr="0099663B" w:rsidRDefault="0099663B" w:rsidP="0099663B">
      <w:pPr>
        <w:pStyle w:val="Listeafsnit"/>
        <w:numPr>
          <w:ilvl w:val="0"/>
          <w:numId w:val="2"/>
        </w:numPr>
        <w:spacing w:line="259" w:lineRule="auto"/>
        <w:rPr>
          <w:bCs/>
          <w:sz w:val="20"/>
          <w:szCs w:val="20"/>
        </w:rPr>
      </w:pPr>
      <w:r w:rsidRPr="0099663B">
        <w:rPr>
          <w:bCs/>
          <w:sz w:val="20"/>
          <w:szCs w:val="20"/>
        </w:rPr>
        <w:t xml:space="preserve">Start med at </w:t>
      </w:r>
      <w:r w:rsidRPr="0099663B">
        <w:rPr>
          <w:b/>
          <w:sz w:val="20"/>
          <w:szCs w:val="20"/>
          <w:u w:val="single"/>
        </w:rPr>
        <w:t>læs artiklen</w:t>
      </w:r>
      <w:r w:rsidRPr="0099663B">
        <w:rPr>
          <w:bCs/>
          <w:sz w:val="20"/>
          <w:szCs w:val="20"/>
        </w:rPr>
        <w:t xml:space="preserve"> </w:t>
      </w:r>
      <w:r w:rsidRPr="0099663B">
        <w:rPr>
          <w:bCs/>
          <w:sz w:val="20"/>
          <w:szCs w:val="20"/>
        </w:rPr>
        <w:t xml:space="preserve">”Klager afvist i Amager Fælled-sag - grønt lys til omstridt projekt, siger bygherre”. Artikel af Christian S. N. Therkildsen på TV2 Lorry 14. december 2021. </w:t>
      </w:r>
    </w:p>
    <w:p w14:paraId="708D274A" w14:textId="77777777" w:rsidR="0099663B" w:rsidRPr="0099663B" w:rsidRDefault="0099663B" w:rsidP="0099663B">
      <w:pPr>
        <w:spacing w:line="259" w:lineRule="auto"/>
        <w:rPr>
          <w:rStyle w:val="Hyperlink"/>
          <w:bCs/>
          <w:color w:val="000000" w:themeColor="text1"/>
          <w:sz w:val="20"/>
          <w:szCs w:val="20"/>
          <w:u w:val="none"/>
        </w:rPr>
      </w:pPr>
      <w:hyperlink r:id="rId5" w:history="1">
        <w:r w:rsidRPr="0099663B">
          <w:rPr>
            <w:rStyle w:val="Hyperlink"/>
            <w:bCs/>
            <w:color w:val="000000" w:themeColor="text1"/>
            <w:sz w:val="20"/>
            <w:szCs w:val="20"/>
            <w:u w:val="none"/>
          </w:rPr>
          <w:t>https://www.tv2lorry.dk/koebenhavn/klager-afvist-i-amager-faelled-sag-groent-lys-til-omstridt-projekt-siger-bygherre</w:t>
        </w:r>
      </w:hyperlink>
    </w:p>
    <w:p w14:paraId="18D9379E" w14:textId="77777777" w:rsidR="0099663B" w:rsidRDefault="0099663B" w:rsidP="0099663B">
      <w:pPr>
        <w:pStyle w:val="Listeafsnit"/>
        <w:numPr>
          <w:ilvl w:val="0"/>
          <w:numId w:val="2"/>
        </w:numPr>
        <w:spacing w:line="259" w:lineRule="auto"/>
        <w:rPr>
          <w:rStyle w:val="Hyperlink"/>
          <w:bCs/>
          <w:color w:val="000000" w:themeColor="text1"/>
          <w:sz w:val="20"/>
          <w:szCs w:val="20"/>
          <w:u w:val="none"/>
        </w:rPr>
      </w:pPr>
      <w:r w:rsidRPr="0099663B">
        <w:rPr>
          <w:rStyle w:val="Hyperlink"/>
          <w:bCs/>
          <w:color w:val="000000" w:themeColor="text1"/>
          <w:sz w:val="20"/>
          <w:szCs w:val="20"/>
          <w:u w:val="none"/>
        </w:rPr>
        <w:t>udfyld skema</w:t>
      </w:r>
      <w:r>
        <w:rPr>
          <w:rStyle w:val="Hyperlink"/>
          <w:bCs/>
          <w:color w:val="000000" w:themeColor="text1"/>
          <w:sz w:val="20"/>
          <w:szCs w:val="20"/>
          <w:u w:val="none"/>
        </w:rPr>
        <w:t xml:space="preserve"> A. </w:t>
      </w:r>
    </w:p>
    <w:p w14:paraId="709725C6" w14:textId="3D7D3821" w:rsidR="0099663B" w:rsidRPr="0099663B" w:rsidRDefault="0099663B" w:rsidP="0099663B">
      <w:pPr>
        <w:pStyle w:val="Listeafsnit"/>
        <w:numPr>
          <w:ilvl w:val="0"/>
          <w:numId w:val="2"/>
        </w:numPr>
        <w:spacing w:line="259" w:lineRule="auto"/>
        <w:rPr>
          <w:color w:val="000000" w:themeColor="text1"/>
          <w:sz w:val="20"/>
          <w:szCs w:val="20"/>
        </w:rPr>
      </w:pPr>
      <w:r w:rsidRPr="0099663B">
        <w:rPr>
          <w:rStyle w:val="Hyperlink"/>
          <w:bCs/>
          <w:color w:val="000000" w:themeColor="text1"/>
          <w:sz w:val="20"/>
          <w:szCs w:val="20"/>
          <w:u w:val="none"/>
        </w:rPr>
        <w:t>Udfyld skema B</w:t>
      </w:r>
    </w:p>
    <w:p w14:paraId="067D599A" w14:textId="722932DF" w:rsidR="0099663B" w:rsidRPr="0099663B" w:rsidRDefault="0099663B" w:rsidP="0099663B">
      <w:pPr>
        <w:spacing w:line="259" w:lineRule="auto"/>
        <w:rPr>
          <w:b/>
        </w:rPr>
      </w:pPr>
    </w:p>
    <w:p w14:paraId="54947EE5" w14:textId="2C84E694" w:rsidR="0099663B" w:rsidRPr="0099663B" w:rsidRDefault="0099663B" w:rsidP="00435170">
      <w:pPr>
        <w:spacing w:line="259" w:lineRule="auto"/>
        <w:rPr>
          <w:lang w:val="en-US"/>
        </w:rPr>
      </w:pPr>
      <w:r w:rsidRPr="0099663B">
        <w:rPr>
          <w:lang w:val="en-US"/>
        </w:rPr>
        <w:t>Skema A: Case</w:t>
      </w:r>
      <w:r>
        <w:rPr>
          <w:lang w:val="en-US"/>
        </w:rPr>
        <w:t xml:space="preserve"> </w:t>
      </w:r>
      <w:proofErr w:type="spellStart"/>
      <w:r w:rsidRPr="0099663B">
        <w:rPr>
          <w:lang w:val="en-US"/>
        </w:rPr>
        <w:t>analyse</w:t>
      </w:r>
      <w:proofErr w:type="spellEnd"/>
      <w:r>
        <w:rPr>
          <w:lang w:val="en-US"/>
        </w:rPr>
        <w:t>:</w:t>
      </w:r>
      <w:r w:rsidRPr="0099663B">
        <w:rPr>
          <w:lang w:val="en-US"/>
        </w:rPr>
        <w:t xml:space="preserve"> </w:t>
      </w:r>
      <w:proofErr w:type="spellStart"/>
      <w:r w:rsidRPr="0099663B">
        <w:rPr>
          <w:lang w:val="en-US"/>
        </w:rPr>
        <w:t>Eastons</w:t>
      </w:r>
      <w:proofErr w:type="spellEnd"/>
      <w:r w:rsidRPr="0099663B">
        <w:rPr>
          <w:lang w:val="en-US"/>
        </w:rPr>
        <w:t xml:space="preserve"> model</w:t>
      </w:r>
    </w:p>
    <w:tbl>
      <w:tblPr>
        <w:tblW w:w="7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980"/>
        <w:gridCol w:w="2966"/>
      </w:tblGrid>
      <w:tr w:rsidR="00435170" w:rsidRPr="00D95678" w14:paraId="04263C5B" w14:textId="77777777" w:rsidTr="0099663B">
        <w:trPr>
          <w:trHeight w:val="276"/>
        </w:trPr>
        <w:tc>
          <w:tcPr>
            <w:tcW w:w="19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5D5649" w14:textId="77777777" w:rsidR="00435170" w:rsidRPr="0099663B" w:rsidRDefault="00435170" w:rsidP="003E12D3">
            <w:pPr>
              <w:spacing w:line="259" w:lineRule="auto"/>
              <w:rPr>
                <w:b/>
                <w:bCs/>
                <w:lang w:val="en-US"/>
              </w:rPr>
            </w:pP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C3FB2D" w14:textId="77777777" w:rsidR="00435170" w:rsidRPr="00D95678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Input</w:t>
            </w:r>
          </w:p>
        </w:tc>
        <w:tc>
          <w:tcPr>
            <w:tcW w:w="29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038799DC" w14:textId="77777777" w:rsidR="00435170" w:rsidRPr="00D95678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Output</w:t>
            </w:r>
          </w:p>
        </w:tc>
      </w:tr>
      <w:tr w:rsidR="00435170" w:rsidRPr="008C612B" w14:paraId="514A7E0B" w14:textId="77777777" w:rsidTr="0099663B">
        <w:trPr>
          <w:trHeight w:val="1213"/>
        </w:trPr>
        <w:tc>
          <w:tcPr>
            <w:tcW w:w="19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E621B6" w14:textId="77777777" w:rsidR="00435170" w:rsidRPr="008C612B" w:rsidRDefault="00435170" w:rsidP="003E12D3">
            <w:pPr>
              <w:spacing w:line="259" w:lineRule="auto"/>
            </w:pPr>
            <w:r>
              <w:rPr>
                <w:b/>
                <w:bCs/>
              </w:rPr>
              <w:t xml:space="preserve">Definér </w:t>
            </w:r>
          </w:p>
        </w:tc>
        <w:tc>
          <w:tcPr>
            <w:tcW w:w="2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814DE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9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73542A4" w14:textId="77777777" w:rsidR="00435170" w:rsidRPr="008C612B" w:rsidRDefault="00435170" w:rsidP="003E12D3">
            <w:pPr>
              <w:spacing w:line="259" w:lineRule="auto"/>
            </w:pPr>
          </w:p>
        </w:tc>
      </w:tr>
      <w:tr w:rsidR="00435170" w:rsidRPr="008C612B" w14:paraId="6D992BC4" w14:textId="77777777" w:rsidTr="0099663B">
        <w:trPr>
          <w:trHeight w:val="1213"/>
        </w:trPr>
        <w:tc>
          <w:tcPr>
            <w:tcW w:w="19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D25E90" w14:textId="77777777" w:rsidR="00435170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Nævn eksempler fra casen</w:t>
            </w:r>
          </w:p>
        </w:tc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289BC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9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0EADFD1" w14:textId="77777777" w:rsidR="00435170" w:rsidRPr="008C612B" w:rsidRDefault="00435170" w:rsidP="003E12D3">
            <w:pPr>
              <w:spacing w:line="259" w:lineRule="auto"/>
            </w:pPr>
          </w:p>
        </w:tc>
      </w:tr>
    </w:tbl>
    <w:p w14:paraId="2830EC0D" w14:textId="77777777" w:rsidR="00435170" w:rsidRDefault="00435170" w:rsidP="00435170"/>
    <w:p w14:paraId="77DC6D49" w14:textId="3F37CF03" w:rsidR="00435170" w:rsidRDefault="0099663B" w:rsidP="00435170">
      <w:r>
        <w:rPr>
          <w:b/>
          <w:bCs/>
        </w:rPr>
        <w:t>Skema B:</w:t>
      </w:r>
      <w:r w:rsidR="00435170" w:rsidRPr="007B4A83">
        <w:rPr>
          <w:b/>
          <w:bCs/>
        </w:rPr>
        <w:t xml:space="preserve"> </w:t>
      </w:r>
      <w:r>
        <w:rPr>
          <w:b/>
          <w:bCs/>
        </w:rPr>
        <w:t xml:space="preserve"> Case analyse: </w:t>
      </w:r>
      <w:r w:rsidR="00435170">
        <w:rPr>
          <w:b/>
          <w:bCs/>
        </w:rPr>
        <w:t xml:space="preserve">Magtbegreber </w:t>
      </w:r>
    </w:p>
    <w:tbl>
      <w:tblPr>
        <w:tblW w:w="7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557"/>
        <w:gridCol w:w="2411"/>
      </w:tblGrid>
      <w:tr w:rsidR="00435170" w:rsidRPr="00D95678" w14:paraId="002C55BB" w14:textId="77777777" w:rsidTr="0099663B">
        <w:trPr>
          <w:trHeight w:val="815"/>
        </w:trPr>
        <w:tc>
          <w:tcPr>
            <w:tcW w:w="2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597D0F" w14:textId="77777777" w:rsidR="00435170" w:rsidRPr="00D95678" w:rsidRDefault="00435170" w:rsidP="003E12D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1F85E3" w14:textId="77777777" w:rsidR="00435170" w:rsidRPr="00D95678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Definer magtbegrebet</w:t>
            </w: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16601C5A" w14:textId="77777777" w:rsidR="00435170" w:rsidRPr="00D95678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Hvor i casen er der eksempler på anvendelse af den form for magt?</w:t>
            </w:r>
          </w:p>
        </w:tc>
      </w:tr>
      <w:tr w:rsidR="00435170" w:rsidRPr="008C612B" w14:paraId="2140D00F" w14:textId="77777777" w:rsidTr="0099663B">
        <w:trPr>
          <w:trHeight w:val="1231"/>
        </w:trPr>
        <w:tc>
          <w:tcPr>
            <w:tcW w:w="25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1A0C7" w14:textId="77777777" w:rsidR="00435170" w:rsidRPr="008C612B" w:rsidRDefault="00435170" w:rsidP="003E12D3">
            <w:pPr>
              <w:spacing w:line="259" w:lineRule="auto"/>
            </w:pPr>
            <w:r>
              <w:rPr>
                <w:b/>
                <w:bCs/>
              </w:rPr>
              <w:t>Direkte magt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E1D4D3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6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BAE8568" w14:textId="77777777" w:rsidR="00435170" w:rsidRPr="008C612B" w:rsidRDefault="00435170" w:rsidP="003E12D3">
            <w:pPr>
              <w:spacing w:line="259" w:lineRule="auto"/>
            </w:pPr>
          </w:p>
        </w:tc>
      </w:tr>
      <w:tr w:rsidR="00435170" w:rsidRPr="008C612B" w14:paraId="77CB27B8" w14:textId="77777777" w:rsidTr="0099663B">
        <w:trPr>
          <w:trHeight w:val="1231"/>
        </w:trPr>
        <w:tc>
          <w:tcPr>
            <w:tcW w:w="2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A8ADE" w14:textId="77777777" w:rsidR="00435170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Indirekte magt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E420F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5FA92A5D" w14:textId="77777777" w:rsidR="00435170" w:rsidRPr="008C612B" w:rsidRDefault="00435170" w:rsidP="003E12D3">
            <w:pPr>
              <w:spacing w:line="259" w:lineRule="auto"/>
            </w:pPr>
          </w:p>
        </w:tc>
      </w:tr>
      <w:tr w:rsidR="00435170" w:rsidRPr="008C612B" w14:paraId="06A81197" w14:textId="77777777" w:rsidTr="0099663B">
        <w:trPr>
          <w:trHeight w:val="1231"/>
        </w:trPr>
        <w:tc>
          <w:tcPr>
            <w:tcW w:w="2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FBA4D" w14:textId="77777777" w:rsidR="00435170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Bevidsthedskontrollerende magt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AEA93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7E5D1A2" w14:textId="77777777" w:rsidR="00435170" w:rsidRPr="008C612B" w:rsidRDefault="00435170" w:rsidP="003E12D3">
            <w:pPr>
              <w:spacing w:line="259" w:lineRule="auto"/>
            </w:pPr>
          </w:p>
        </w:tc>
      </w:tr>
      <w:tr w:rsidR="00435170" w:rsidRPr="008C612B" w14:paraId="2C585243" w14:textId="77777777" w:rsidTr="0099663B">
        <w:trPr>
          <w:trHeight w:val="1231"/>
        </w:trPr>
        <w:tc>
          <w:tcPr>
            <w:tcW w:w="2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78A3F" w14:textId="77777777" w:rsidR="00435170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Diskursiv magt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3F7C29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028B12AE" w14:textId="77777777" w:rsidR="00435170" w:rsidRPr="008C612B" w:rsidRDefault="00435170" w:rsidP="003E12D3">
            <w:pPr>
              <w:spacing w:line="259" w:lineRule="auto"/>
            </w:pPr>
          </w:p>
        </w:tc>
      </w:tr>
      <w:tr w:rsidR="00435170" w:rsidRPr="008C612B" w14:paraId="1487A592" w14:textId="77777777" w:rsidTr="0099663B">
        <w:trPr>
          <w:trHeight w:val="1231"/>
        </w:trPr>
        <w:tc>
          <w:tcPr>
            <w:tcW w:w="2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89EE5" w14:textId="77777777" w:rsidR="00435170" w:rsidRDefault="00435170" w:rsidP="003E12D3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Institutionel magt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49DC6" w14:textId="77777777" w:rsidR="00435170" w:rsidRPr="008C612B" w:rsidRDefault="00435170" w:rsidP="003E12D3">
            <w:pPr>
              <w:spacing w:line="259" w:lineRule="auto"/>
            </w:pPr>
          </w:p>
        </w:tc>
        <w:tc>
          <w:tcPr>
            <w:tcW w:w="26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CB55B98" w14:textId="77777777" w:rsidR="00435170" w:rsidRPr="008C612B" w:rsidRDefault="00435170" w:rsidP="003E12D3">
            <w:pPr>
              <w:spacing w:line="259" w:lineRule="auto"/>
            </w:pPr>
          </w:p>
        </w:tc>
      </w:tr>
    </w:tbl>
    <w:p w14:paraId="32E7933A" w14:textId="77777777" w:rsidR="00435170" w:rsidRDefault="00435170" w:rsidP="00435170"/>
    <w:p w14:paraId="2E8C7450" w14:textId="7907F2F5" w:rsidR="007B5222" w:rsidRDefault="00435170" w:rsidP="00435170">
      <w:r>
        <w:br w:type="column"/>
      </w:r>
    </w:p>
    <w:sectPr w:rsidR="007B5222" w:rsidSect="00E553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B576F"/>
    <w:multiLevelType w:val="hybridMultilevel"/>
    <w:tmpl w:val="E4D4282A"/>
    <w:lvl w:ilvl="0" w:tplc="15CA6472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950AFD"/>
    <w:multiLevelType w:val="hybridMultilevel"/>
    <w:tmpl w:val="95927B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44763">
    <w:abstractNumId w:val="1"/>
  </w:num>
  <w:num w:numId="2" w16cid:durableId="16448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70"/>
    <w:rsid w:val="003274B5"/>
    <w:rsid w:val="00435170"/>
    <w:rsid w:val="007B5222"/>
    <w:rsid w:val="0099663B"/>
    <w:rsid w:val="00E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67551"/>
  <w14:defaultImageDpi w14:val="32767"/>
  <w15:chartTrackingRefBased/>
  <w15:docId w15:val="{24249A6D-2D96-7D48-99F8-64A35A86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5170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9663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9663B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96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v2lorry.dk/koebenhavn/klager-afvist-i-amager-faelled-sag-groent-lys-til-omstridt-projekt-siger-bygher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[LI] Line Sanne Ahl Kjærsgaard</dc:creator>
  <cp:keywords/>
  <dc:description/>
  <cp:lastModifiedBy>[LI] Line Sanne Ahl Kjærsgaard</cp:lastModifiedBy>
  <cp:revision>1</cp:revision>
  <dcterms:created xsi:type="dcterms:W3CDTF">2023-11-17T10:46:00Z</dcterms:created>
  <dcterms:modified xsi:type="dcterms:W3CDTF">2023-11-17T11:06:00Z</dcterms:modified>
</cp:coreProperties>
</file>