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3975" w14:textId="56246B00" w:rsidR="00F020C0" w:rsidRPr="00F020C0" w:rsidRDefault="00F020C0" w:rsidP="00F020C0">
      <w:pPr>
        <w:shd w:val="clear" w:color="auto" w:fill="FFFFFF"/>
        <w:rPr>
          <w:rFonts w:ascii="Arial" w:eastAsia="Times New Roman" w:hAnsi="Arial" w:cs="Arial"/>
          <w:color w:val="333333"/>
          <w:sz w:val="19"/>
          <w:szCs w:val="19"/>
          <w:lang w:eastAsia="da-DK"/>
        </w:rPr>
      </w:pPr>
    </w:p>
    <w:p w14:paraId="45DA597B" w14:textId="77777777" w:rsidR="00F020C0" w:rsidRPr="00F020C0" w:rsidRDefault="00F020C0" w:rsidP="00F020C0">
      <w:pPr>
        <w:shd w:val="clear" w:color="auto" w:fill="FFFFFF"/>
        <w:spacing w:after="240"/>
        <w:rPr>
          <w:rFonts w:ascii="Arial" w:eastAsia="Times New Roman" w:hAnsi="Arial" w:cs="Arial"/>
          <w:color w:val="333333"/>
          <w:lang w:eastAsia="da-DK"/>
        </w:rPr>
      </w:pPr>
      <w:r w:rsidRPr="00F020C0">
        <w:rPr>
          <w:rFonts w:ascii="Arial" w:eastAsia="Times New Roman" w:hAnsi="Arial" w:cs="Arial"/>
          <w:color w:val="333333"/>
          <w:lang w:eastAsia="da-DK"/>
        </w:rPr>
        <w:t>Semantik kan defineres som studiet af betydning. Når vi studerer en teksts betydning og mening, arbejder vi altså med tekstens semantik.</w:t>
      </w:r>
    </w:p>
    <w:p w14:paraId="64A79B59" w14:textId="77777777" w:rsidR="00F020C0" w:rsidRPr="00F020C0" w:rsidRDefault="00F020C0" w:rsidP="00F020C0">
      <w:pPr>
        <w:shd w:val="clear" w:color="auto" w:fill="FFFFFF"/>
        <w:spacing w:after="240"/>
        <w:rPr>
          <w:rFonts w:ascii="Arial" w:eastAsia="Times New Roman" w:hAnsi="Arial" w:cs="Arial"/>
          <w:color w:val="333333"/>
          <w:lang w:eastAsia="da-DK"/>
        </w:rPr>
      </w:pPr>
      <w:r w:rsidRPr="00F020C0">
        <w:rPr>
          <w:rFonts w:ascii="Arial" w:eastAsia="Times New Roman" w:hAnsi="Arial" w:cs="Arial"/>
          <w:color w:val="333333"/>
          <w:lang w:eastAsia="da-DK"/>
        </w:rPr>
        <w:t>En tekst er altid bygget op omkring semantiske skemaer. For de fleste af os fremkalder ord som:</w:t>
      </w:r>
    </w:p>
    <w:p w14:paraId="0CFF931B" w14:textId="77777777" w:rsidR="00F020C0" w:rsidRPr="00F020C0" w:rsidRDefault="00F020C0" w:rsidP="00F020C0">
      <w:pPr>
        <w:shd w:val="clear" w:color="auto" w:fill="FFFFFF"/>
        <w:spacing w:before="240" w:after="240"/>
        <w:ind w:right="240" w:firstLine="1304"/>
        <w:rPr>
          <w:rFonts w:ascii="Arial" w:eastAsia="Times New Roman" w:hAnsi="Arial" w:cs="Arial"/>
          <w:i/>
          <w:iCs/>
          <w:color w:val="333333"/>
          <w:lang w:eastAsia="da-DK"/>
        </w:rPr>
      </w:pPr>
      <w:r w:rsidRPr="00F020C0">
        <w:rPr>
          <w:rFonts w:ascii="Arial" w:eastAsia="Times New Roman" w:hAnsi="Arial" w:cs="Arial"/>
          <w:i/>
          <w:iCs/>
          <w:color w:val="333333"/>
          <w:lang w:eastAsia="da-DK"/>
        </w:rPr>
        <w:t>skoletaske, penalhus, viskelæder, blyant, skrivehæfte, læsebog</w:t>
      </w:r>
    </w:p>
    <w:p w14:paraId="43BB2A41" w14:textId="77777777" w:rsidR="00F020C0" w:rsidRPr="00F020C0" w:rsidRDefault="00F020C0" w:rsidP="00F020C0">
      <w:pPr>
        <w:shd w:val="clear" w:color="auto" w:fill="FFFFFF"/>
        <w:spacing w:after="240"/>
        <w:rPr>
          <w:rFonts w:ascii="Arial" w:eastAsia="Times New Roman" w:hAnsi="Arial" w:cs="Arial"/>
          <w:color w:val="333333"/>
          <w:lang w:eastAsia="da-DK"/>
        </w:rPr>
      </w:pPr>
      <w:r w:rsidRPr="00F020C0">
        <w:rPr>
          <w:rFonts w:ascii="Arial" w:eastAsia="Times New Roman" w:hAnsi="Arial" w:cs="Arial"/>
          <w:color w:val="333333"/>
          <w:lang w:eastAsia="da-DK"/>
        </w:rPr>
        <w:t>en forestilling der kunne sammenfattes i overskriften eller overbegrebet:</w:t>
      </w:r>
    </w:p>
    <w:p w14:paraId="7E50E955" w14:textId="33B8A9DA" w:rsidR="00F020C0" w:rsidRPr="00F020C0" w:rsidRDefault="00F020C0" w:rsidP="00F020C0">
      <w:pPr>
        <w:shd w:val="clear" w:color="auto" w:fill="FFFFFF"/>
        <w:spacing w:before="240" w:after="240"/>
        <w:ind w:right="240" w:firstLine="1304"/>
        <w:rPr>
          <w:rFonts w:ascii="Arial" w:eastAsia="Times New Roman" w:hAnsi="Arial" w:cs="Arial"/>
          <w:color w:val="333333"/>
          <w:lang w:eastAsia="da-DK"/>
        </w:rPr>
      </w:pPr>
      <w:r w:rsidRPr="00F020C0">
        <w:rPr>
          <w:rFonts w:ascii="Arial" w:eastAsia="Times New Roman" w:hAnsi="Arial" w:cs="Arial"/>
          <w:i/>
          <w:iCs/>
          <w:color w:val="333333"/>
          <w:lang w:eastAsia="da-DK"/>
        </w:rPr>
        <w:t>skolegang</w:t>
      </w:r>
    </w:p>
    <w:p w14:paraId="01146D66" w14:textId="77777777" w:rsidR="00F020C0" w:rsidRPr="00F020C0" w:rsidRDefault="00F020C0" w:rsidP="00F020C0">
      <w:pPr>
        <w:shd w:val="clear" w:color="auto" w:fill="FFFFFF"/>
        <w:spacing w:after="240"/>
        <w:rPr>
          <w:rFonts w:ascii="Arial" w:eastAsia="Times New Roman" w:hAnsi="Arial" w:cs="Arial"/>
          <w:color w:val="333333"/>
          <w:lang w:eastAsia="da-DK"/>
        </w:rPr>
      </w:pPr>
      <w:r w:rsidRPr="00F020C0">
        <w:rPr>
          <w:rFonts w:ascii="Arial" w:eastAsia="Times New Roman" w:hAnsi="Arial" w:cs="Arial"/>
          <w:color w:val="333333"/>
          <w:lang w:eastAsia="da-DK"/>
        </w:rPr>
        <w:t>Semantiske skemaer grupperer altså ord der optræder i en logisk indholdsmæssig sammenhæng, og vores forestillinger om hvilke elementer der hænger sammen, er påvirket af de erfaringer vi har gjort på forskellige områder. Der kan være tale om kulturelle, sociale, aldersbetingede, geografiske, kønsspecifikke og mange andre former for erfaringer.</w:t>
      </w:r>
    </w:p>
    <w:p w14:paraId="53A3F478" w14:textId="77777777" w:rsidR="00F020C0" w:rsidRPr="00F020C0" w:rsidRDefault="00F020C0" w:rsidP="00F020C0">
      <w:pPr>
        <w:shd w:val="clear" w:color="auto" w:fill="FFFFFF"/>
        <w:spacing w:after="240"/>
        <w:rPr>
          <w:rFonts w:ascii="Arial" w:eastAsia="Times New Roman" w:hAnsi="Arial" w:cs="Arial"/>
          <w:color w:val="333333"/>
          <w:lang w:eastAsia="da-DK"/>
        </w:rPr>
      </w:pPr>
      <w:r w:rsidRPr="00F020C0">
        <w:rPr>
          <w:rFonts w:ascii="Arial" w:eastAsia="Times New Roman" w:hAnsi="Arial" w:cs="Arial"/>
          <w:color w:val="333333"/>
          <w:lang w:eastAsia="da-DK"/>
        </w:rPr>
        <w:t>Opstilling af semantiske skemaer kan fungere som vejvisere for en fortolkning. Det vil nemlig ofte være sådan at sammenhænge i teksten på mange forskellige niveauer – også de sammenhænge der ikke umiddelbart er lette at få øje på – kan dokumenteres gennem en opstilling af semantiske skemaer.</w:t>
      </w:r>
    </w:p>
    <w:p w14:paraId="53E68BA4" w14:textId="77777777" w:rsidR="00F020C0" w:rsidRPr="00F020C0" w:rsidRDefault="00F020C0" w:rsidP="00F020C0">
      <w:pPr>
        <w:shd w:val="clear" w:color="auto" w:fill="FFFFFF"/>
        <w:spacing w:after="240"/>
        <w:rPr>
          <w:rFonts w:ascii="Arial" w:eastAsia="Times New Roman" w:hAnsi="Arial" w:cs="Arial"/>
          <w:color w:val="333333"/>
          <w:lang w:eastAsia="da-DK"/>
        </w:rPr>
      </w:pPr>
      <w:r w:rsidRPr="00F020C0">
        <w:rPr>
          <w:rFonts w:ascii="Arial" w:eastAsia="Times New Roman" w:hAnsi="Arial" w:cs="Arial"/>
          <w:color w:val="333333"/>
          <w:lang w:eastAsia="da-DK"/>
        </w:rPr>
        <w:t>Hvis der pludselig optræder et brud i et af tekstens semantiske skemaer, kan det være et signal om at der sker noget vigtigt og bemærkelsesværdigt i teksten. Ved at undersøge teksten for den slags brud kan læseren ofte finde en vigtig nøgle til forståelsen af teksten.</w:t>
      </w:r>
    </w:p>
    <w:p w14:paraId="4E87E992" w14:textId="77777777" w:rsidR="00F020C0" w:rsidRPr="00F020C0" w:rsidRDefault="00F020C0" w:rsidP="00F020C0">
      <w:pPr>
        <w:shd w:val="clear" w:color="auto" w:fill="FFFFFF"/>
        <w:spacing w:after="240"/>
        <w:rPr>
          <w:rFonts w:ascii="Arial" w:eastAsia="Times New Roman" w:hAnsi="Arial" w:cs="Arial"/>
          <w:color w:val="333333"/>
          <w:lang w:eastAsia="da-DK"/>
        </w:rPr>
      </w:pPr>
      <w:r w:rsidRPr="00F020C0">
        <w:rPr>
          <w:rFonts w:ascii="Arial" w:eastAsia="Times New Roman" w:hAnsi="Arial" w:cs="Arial"/>
          <w:color w:val="333333"/>
          <w:lang w:eastAsia="da-DK"/>
        </w:rPr>
        <w:t>Semantiske skemaer kan altså være med til at skabe sammenhæng og brudflader i en tekst. Man taler om at de spænder et net af betydning ud over teksten. Dette net bevirker at teksten bindes sammen på tværs af afsnit, handling og beskrivelser. Et sådant netværk af semantiske skemaer grupperer sig ofte i modsætninger som fx natur – kultur, barn – voksen, uskyld – skyld, uvidenhed – indsigt, had – kærlighed, stor – lille, smuk – grim …</w:t>
      </w:r>
    </w:p>
    <w:p w14:paraId="4F185B75" w14:textId="77777777" w:rsidR="00F020C0" w:rsidRPr="00F020C0" w:rsidRDefault="00F020C0" w:rsidP="00F020C0">
      <w:pPr>
        <w:shd w:val="clear" w:color="auto" w:fill="FFFFFF"/>
        <w:spacing w:after="240"/>
        <w:rPr>
          <w:rFonts w:ascii="Arial" w:eastAsia="Times New Roman" w:hAnsi="Arial" w:cs="Arial"/>
          <w:color w:val="333333"/>
          <w:lang w:eastAsia="da-DK"/>
        </w:rPr>
      </w:pPr>
      <w:r w:rsidRPr="00F020C0">
        <w:rPr>
          <w:rFonts w:ascii="Arial" w:eastAsia="Times New Roman" w:hAnsi="Arial" w:cs="Arial"/>
          <w:color w:val="333333"/>
          <w:lang w:eastAsia="da-DK"/>
        </w:rPr>
        <w:t>Ud fra den kontekst modsætningerne indgår i, vil det for det meste være muligt at knytte bestemte værdier til dem. Og på den måde peger modsætningerne mod tekstens tema.</w:t>
      </w:r>
    </w:p>
    <w:p w14:paraId="082D0B2E" w14:textId="47E08AB5" w:rsidR="007C6A48" w:rsidRPr="007C6A48" w:rsidRDefault="007C6A48" w:rsidP="007C6A48">
      <w:pPr>
        <w:rPr>
          <w:rFonts w:ascii="Arial" w:eastAsia="Times New Roman" w:hAnsi="Arial" w:cs="Arial"/>
          <w:color w:val="333333"/>
          <w:sz w:val="28"/>
          <w:szCs w:val="28"/>
          <w:u w:val="single"/>
          <w:shd w:val="clear" w:color="auto" w:fill="FFFFFF"/>
          <w:lang w:eastAsia="da-DK"/>
        </w:rPr>
      </w:pPr>
      <w:r w:rsidRPr="007C6A48">
        <w:rPr>
          <w:rFonts w:ascii="Arial" w:eastAsia="Times New Roman" w:hAnsi="Arial" w:cs="Arial"/>
          <w:color w:val="333333"/>
          <w:sz w:val="28"/>
          <w:szCs w:val="28"/>
          <w:u w:val="single"/>
          <w:shd w:val="clear" w:color="auto" w:fill="FFFFFF"/>
          <w:lang w:eastAsia="da-DK"/>
        </w:rPr>
        <w:t xml:space="preserve">PLUSORD – MINUSORD: </w:t>
      </w:r>
    </w:p>
    <w:p w14:paraId="3DC2C124" w14:textId="77777777" w:rsidR="007C6A48" w:rsidRDefault="007C6A48" w:rsidP="007C6A48">
      <w:pPr>
        <w:rPr>
          <w:rFonts w:ascii="Arial" w:eastAsia="Times New Roman" w:hAnsi="Arial" w:cs="Arial"/>
          <w:color w:val="333333"/>
          <w:sz w:val="19"/>
          <w:szCs w:val="19"/>
          <w:shd w:val="clear" w:color="auto" w:fill="FFFFFF"/>
          <w:lang w:eastAsia="da-DK"/>
        </w:rPr>
      </w:pPr>
    </w:p>
    <w:p w14:paraId="6478463F" w14:textId="4312A7F9" w:rsidR="007C6A48" w:rsidRPr="007C6A48" w:rsidRDefault="007C6A48" w:rsidP="007C6A48">
      <w:pPr>
        <w:rPr>
          <w:rFonts w:ascii="Times New Roman" w:eastAsia="Times New Roman" w:hAnsi="Times New Roman" w:cs="Times New Roman"/>
          <w:lang w:eastAsia="da-DK"/>
        </w:rPr>
      </w:pPr>
      <w:r w:rsidRPr="007C6A48">
        <w:rPr>
          <w:rFonts w:ascii="Arial" w:eastAsia="Times New Roman" w:hAnsi="Arial" w:cs="Arial"/>
          <w:color w:val="333333"/>
          <w:sz w:val="19"/>
          <w:szCs w:val="19"/>
          <w:shd w:val="clear" w:color="auto" w:fill="FFFFFF"/>
          <w:lang w:eastAsia="da-DK"/>
        </w:rPr>
        <w:t>Plusord er en betegnelse for ord, der er positivt ladede, mens minusord betegner negativt ladede ord. I en indledende analyse kan opmærksomhed på afsenderens brug af plusord og minusord give et indtryk af den holdning og de værdier, der præger en tekst.</w:t>
      </w:r>
    </w:p>
    <w:p w14:paraId="0D3E41D6" w14:textId="0C3611C8" w:rsidR="00000000" w:rsidRDefault="00000000"/>
    <w:p w14:paraId="4B9E7945" w14:textId="77777777" w:rsidR="007C6A48" w:rsidRDefault="007C6A48" w:rsidP="007C6A48">
      <w:pPr>
        <w:pStyle w:val="Overskrift1"/>
        <w:shd w:val="clear" w:color="auto" w:fill="FFFFFF"/>
        <w:spacing w:before="0" w:beforeAutospacing="0" w:after="0" w:afterAutospacing="0"/>
        <w:ind w:right="195"/>
        <w:rPr>
          <w:rFonts w:ascii="Arial" w:hAnsi="Arial" w:cs="Arial"/>
          <w:b w:val="0"/>
          <w:bCs w:val="0"/>
          <w:color w:val="333333"/>
          <w:sz w:val="35"/>
          <w:szCs w:val="35"/>
        </w:rPr>
      </w:pPr>
      <w:r>
        <w:rPr>
          <w:rFonts w:ascii="Arial" w:hAnsi="Arial" w:cs="Arial"/>
          <w:b w:val="0"/>
          <w:bCs w:val="0"/>
          <w:color w:val="333333"/>
          <w:sz w:val="35"/>
          <w:szCs w:val="35"/>
        </w:rPr>
        <w:t>Gentagelser, magiske tal og modsætninger</w:t>
      </w:r>
    </w:p>
    <w:p w14:paraId="1154D8D6" w14:textId="7F0F3F8A" w:rsidR="007C6A48" w:rsidRDefault="007C6A48"/>
    <w:p w14:paraId="2A44B151" w14:textId="77777777" w:rsidR="007C6A48" w:rsidRPr="007C6A48" w:rsidRDefault="007C6A48" w:rsidP="007C6A48">
      <w:pPr>
        <w:shd w:val="clear" w:color="auto" w:fill="FFFFFF"/>
        <w:spacing w:after="240"/>
        <w:rPr>
          <w:rFonts w:ascii="Arial" w:eastAsia="Times New Roman" w:hAnsi="Arial" w:cs="Arial"/>
          <w:color w:val="333333"/>
          <w:sz w:val="19"/>
          <w:szCs w:val="19"/>
          <w:lang w:eastAsia="da-DK"/>
        </w:rPr>
      </w:pPr>
      <w:r w:rsidRPr="007C6A48">
        <w:rPr>
          <w:rFonts w:ascii="Arial" w:eastAsia="Times New Roman" w:hAnsi="Arial" w:cs="Arial"/>
          <w:color w:val="333333"/>
          <w:sz w:val="19"/>
          <w:szCs w:val="19"/>
          <w:lang w:eastAsia="da-DK"/>
        </w:rPr>
        <w:t>Gentagelser er et begreb, man bruger bredt om dét at repetere og gentage noget i en tekst. Det kan fx være, at tekstens titel gentages som en sætning i teksten, at forskellige sætninger eller fraser går igen, eller at man indleder og afrunder teksten på samme måde.</w:t>
      </w:r>
    </w:p>
    <w:p w14:paraId="28534339" w14:textId="77777777" w:rsidR="007C6A48" w:rsidRPr="007C6A48" w:rsidRDefault="007C6A48" w:rsidP="007C6A48">
      <w:pPr>
        <w:shd w:val="clear" w:color="auto" w:fill="FFFFFF"/>
        <w:spacing w:after="240"/>
        <w:rPr>
          <w:rFonts w:ascii="Arial" w:eastAsia="Times New Roman" w:hAnsi="Arial" w:cs="Arial"/>
          <w:color w:val="333333"/>
          <w:sz w:val="19"/>
          <w:szCs w:val="19"/>
          <w:lang w:eastAsia="da-DK"/>
        </w:rPr>
      </w:pPr>
      <w:r w:rsidRPr="007C6A48">
        <w:rPr>
          <w:rFonts w:ascii="Arial" w:eastAsia="Times New Roman" w:hAnsi="Arial" w:cs="Arial"/>
          <w:color w:val="333333"/>
          <w:sz w:val="19"/>
          <w:szCs w:val="19"/>
          <w:lang w:eastAsia="da-DK"/>
        </w:rPr>
        <w:t xml:space="preserve">Sætningen: "I have a </w:t>
      </w:r>
      <w:proofErr w:type="spellStart"/>
      <w:r w:rsidRPr="007C6A48">
        <w:rPr>
          <w:rFonts w:ascii="Arial" w:eastAsia="Times New Roman" w:hAnsi="Arial" w:cs="Arial"/>
          <w:color w:val="333333"/>
          <w:sz w:val="19"/>
          <w:szCs w:val="19"/>
          <w:lang w:eastAsia="da-DK"/>
        </w:rPr>
        <w:t>dream</w:t>
      </w:r>
      <w:proofErr w:type="spellEnd"/>
      <w:r w:rsidRPr="007C6A48">
        <w:rPr>
          <w:rFonts w:ascii="Arial" w:eastAsia="Times New Roman" w:hAnsi="Arial" w:cs="Arial"/>
          <w:color w:val="333333"/>
          <w:sz w:val="19"/>
          <w:szCs w:val="19"/>
          <w:lang w:eastAsia="da-DK"/>
        </w:rPr>
        <w:t>" (1963) fra den amerikanske borgerrettighedsforkæmper Martin Luther Kings tale af samme navn er et godt eksempel, som dette citat viser:</w:t>
      </w:r>
    </w:p>
    <w:p w14:paraId="1D46B089" w14:textId="77777777" w:rsidR="007C6A48" w:rsidRPr="007C6A48" w:rsidRDefault="007C6A48" w:rsidP="007C6A48">
      <w:pPr>
        <w:shd w:val="clear" w:color="auto" w:fill="FFFFFF"/>
        <w:spacing w:after="240"/>
        <w:ind w:left="792"/>
        <w:rPr>
          <w:rFonts w:ascii="Arial" w:eastAsia="Times New Roman" w:hAnsi="Arial" w:cs="Arial"/>
          <w:color w:val="333333"/>
          <w:sz w:val="19"/>
          <w:szCs w:val="19"/>
          <w:lang w:eastAsia="da-DK"/>
        </w:rPr>
      </w:pPr>
      <w:r w:rsidRPr="007C6A48">
        <w:rPr>
          <w:rFonts w:ascii="Arial" w:eastAsia="Times New Roman" w:hAnsi="Arial" w:cs="Arial"/>
          <w:color w:val="333333"/>
          <w:sz w:val="19"/>
          <w:szCs w:val="19"/>
          <w:lang w:eastAsia="da-DK"/>
        </w:rPr>
        <w:lastRenderedPageBreak/>
        <w:t>Jeg har en drøm om, at en dag vil denne nation rejse sig og leve op til den sande betydning af sin trosbekendelse:</w:t>
      </w:r>
    </w:p>
    <w:p w14:paraId="3BEF2E8B" w14:textId="77777777" w:rsidR="007C6A48" w:rsidRPr="007C6A48" w:rsidRDefault="007C6A48" w:rsidP="007C6A48">
      <w:pPr>
        <w:shd w:val="clear" w:color="auto" w:fill="FFFFFF"/>
        <w:spacing w:after="240"/>
        <w:ind w:left="792"/>
        <w:rPr>
          <w:rFonts w:ascii="Arial" w:eastAsia="Times New Roman" w:hAnsi="Arial" w:cs="Arial"/>
          <w:color w:val="333333"/>
          <w:sz w:val="19"/>
          <w:szCs w:val="19"/>
          <w:lang w:eastAsia="da-DK"/>
        </w:rPr>
      </w:pPr>
      <w:r w:rsidRPr="007C6A48">
        <w:rPr>
          <w:rFonts w:ascii="Arial" w:eastAsia="Times New Roman" w:hAnsi="Arial" w:cs="Arial"/>
          <w:color w:val="333333"/>
          <w:sz w:val="19"/>
          <w:szCs w:val="19"/>
          <w:lang w:eastAsia="da-DK"/>
        </w:rPr>
        <w:t>Vi anser disse sandheder for selvindlysende, at alle mennesker er skabt lige.</w:t>
      </w:r>
    </w:p>
    <w:p w14:paraId="61D95BDE" w14:textId="77777777" w:rsidR="007C6A48" w:rsidRPr="007C6A48" w:rsidRDefault="007C6A48" w:rsidP="007C6A48">
      <w:pPr>
        <w:shd w:val="clear" w:color="auto" w:fill="FFFFFF"/>
        <w:spacing w:after="240"/>
        <w:ind w:left="792"/>
        <w:rPr>
          <w:rFonts w:ascii="Arial" w:eastAsia="Times New Roman" w:hAnsi="Arial" w:cs="Arial"/>
          <w:color w:val="333333"/>
          <w:sz w:val="19"/>
          <w:szCs w:val="19"/>
          <w:lang w:eastAsia="da-DK"/>
        </w:rPr>
      </w:pPr>
      <w:r w:rsidRPr="007C6A48">
        <w:rPr>
          <w:rFonts w:ascii="Arial" w:eastAsia="Times New Roman" w:hAnsi="Arial" w:cs="Arial"/>
          <w:color w:val="333333"/>
          <w:sz w:val="19"/>
          <w:szCs w:val="19"/>
          <w:lang w:eastAsia="da-DK"/>
        </w:rPr>
        <w:t>Jeg har en drøm om, at en dag vil sønnerne af tidligere slaver og sønnerne af tidligere slaveejere kunne sidde sammen omkring broderskabets bord på Georgias røde bakker; jeg har en drøm.</w:t>
      </w:r>
    </w:p>
    <w:p w14:paraId="6AA63787" w14:textId="77777777" w:rsidR="007C6A48" w:rsidRPr="007C6A48" w:rsidRDefault="007C6A48" w:rsidP="007C6A48">
      <w:pPr>
        <w:shd w:val="clear" w:color="auto" w:fill="FFFFFF"/>
        <w:ind w:left="912"/>
        <w:rPr>
          <w:rFonts w:ascii="Arial" w:eastAsia="Times New Roman" w:hAnsi="Arial" w:cs="Arial"/>
          <w:color w:val="BBBBBB"/>
          <w:sz w:val="16"/>
          <w:szCs w:val="16"/>
          <w:lang w:eastAsia="da-DK"/>
        </w:rPr>
      </w:pPr>
      <w:r w:rsidRPr="007C6A48">
        <w:rPr>
          <w:rFonts w:ascii="Arial" w:eastAsia="Times New Roman" w:hAnsi="Arial" w:cs="Arial"/>
          <w:color w:val="BBBBBB"/>
          <w:sz w:val="16"/>
          <w:szCs w:val="16"/>
          <w:lang w:eastAsia="da-DK"/>
        </w:rPr>
        <w:t>Martin Luther King, 1963</w:t>
      </w:r>
    </w:p>
    <w:p w14:paraId="05AD14C2" w14:textId="77777777" w:rsidR="007C6A48" w:rsidRPr="007C6A48" w:rsidRDefault="007C6A48" w:rsidP="007C6A48">
      <w:pPr>
        <w:shd w:val="clear" w:color="auto" w:fill="FFFFFF"/>
        <w:spacing w:after="240"/>
        <w:rPr>
          <w:rFonts w:ascii="Arial" w:eastAsia="Times New Roman" w:hAnsi="Arial" w:cs="Arial"/>
          <w:color w:val="333333"/>
          <w:sz w:val="19"/>
          <w:szCs w:val="19"/>
          <w:lang w:eastAsia="da-DK"/>
        </w:rPr>
      </w:pPr>
      <w:r w:rsidRPr="007C6A48">
        <w:rPr>
          <w:rFonts w:ascii="Arial" w:eastAsia="Times New Roman" w:hAnsi="Arial" w:cs="Arial"/>
          <w:color w:val="333333"/>
          <w:sz w:val="19"/>
          <w:szCs w:val="19"/>
          <w:lang w:eastAsia="da-DK"/>
        </w:rPr>
        <w:t xml:space="preserve">Der findes forskellige gentagelsesfigurer, som trikolon, </w:t>
      </w:r>
      <w:proofErr w:type="spellStart"/>
      <w:r w:rsidRPr="007C6A48">
        <w:rPr>
          <w:rFonts w:ascii="Arial" w:eastAsia="Times New Roman" w:hAnsi="Arial" w:cs="Arial"/>
          <w:color w:val="333333"/>
          <w:sz w:val="19"/>
          <w:szCs w:val="19"/>
          <w:lang w:eastAsia="da-DK"/>
        </w:rPr>
        <w:t>epanastrofe</w:t>
      </w:r>
      <w:proofErr w:type="spellEnd"/>
      <w:r w:rsidRPr="007C6A48">
        <w:rPr>
          <w:rFonts w:ascii="Arial" w:eastAsia="Times New Roman" w:hAnsi="Arial" w:cs="Arial"/>
          <w:color w:val="333333"/>
          <w:sz w:val="19"/>
          <w:szCs w:val="19"/>
          <w:lang w:eastAsia="da-DK"/>
        </w:rPr>
        <w:t>, anafor, epifor, allitteration (også kaldet bogstavrim) og assonans, der alle bliver beskrevet nedenfor.</w:t>
      </w:r>
    </w:p>
    <w:p w14:paraId="5C01FA5E" w14:textId="77777777" w:rsidR="007C6A48" w:rsidRPr="007C6A48" w:rsidRDefault="007C6A48" w:rsidP="007C6A48">
      <w:pPr>
        <w:shd w:val="clear" w:color="auto" w:fill="FFFFFF"/>
        <w:spacing w:after="240"/>
        <w:rPr>
          <w:rFonts w:ascii="Arial" w:eastAsia="Times New Roman" w:hAnsi="Arial" w:cs="Arial"/>
          <w:color w:val="333333"/>
          <w:sz w:val="19"/>
          <w:szCs w:val="19"/>
          <w:lang w:eastAsia="da-DK"/>
        </w:rPr>
      </w:pPr>
      <w:r w:rsidRPr="007C6A48">
        <w:rPr>
          <w:rFonts w:ascii="Arial" w:eastAsia="Times New Roman" w:hAnsi="Arial" w:cs="Arial"/>
          <w:color w:val="333333"/>
          <w:sz w:val="19"/>
          <w:szCs w:val="19"/>
          <w:lang w:eastAsia="da-DK"/>
        </w:rPr>
        <w:t>Gentagelserne kan bruges på forskellige måder, og i en analyse skal man afdække, hvad effekten er af de forskellige greb. Er det at understrege og slå noget fast? Skabe en slagkraftig rytme? Eller måske gøre en tekst poetisk?</w:t>
      </w:r>
    </w:p>
    <w:tbl>
      <w:tblPr>
        <w:tblW w:w="0" w:type="auto"/>
        <w:tblCellMar>
          <w:top w:w="15" w:type="dxa"/>
          <w:left w:w="15" w:type="dxa"/>
          <w:bottom w:w="15" w:type="dxa"/>
          <w:right w:w="15" w:type="dxa"/>
        </w:tblCellMar>
        <w:tblLook w:val="04A0" w:firstRow="1" w:lastRow="0" w:firstColumn="1" w:lastColumn="0" w:noHBand="0" w:noVBand="1"/>
      </w:tblPr>
      <w:tblGrid>
        <w:gridCol w:w="1960"/>
        <w:gridCol w:w="4639"/>
        <w:gridCol w:w="3017"/>
      </w:tblGrid>
      <w:tr w:rsidR="007C6A48" w:rsidRPr="007C6A48" w14:paraId="45D09E26" w14:textId="77777777" w:rsidTr="007C6A48">
        <w:tc>
          <w:tcPr>
            <w:tcW w:w="0" w:type="auto"/>
            <w:tcBorders>
              <w:top w:val="single" w:sz="6" w:space="0" w:color="DBDBDB"/>
              <w:left w:val="single" w:sz="6" w:space="0" w:color="DBDBDB"/>
              <w:bottom w:val="single" w:sz="6" w:space="0" w:color="DBDBDB"/>
              <w:right w:val="single" w:sz="6" w:space="0" w:color="DBDBDB"/>
            </w:tcBorders>
            <w:shd w:val="clear" w:color="auto" w:fill="E9D261"/>
            <w:tcMar>
              <w:top w:w="120" w:type="dxa"/>
              <w:left w:w="120" w:type="dxa"/>
              <w:bottom w:w="120" w:type="dxa"/>
              <w:right w:w="120" w:type="dxa"/>
            </w:tcMar>
            <w:hideMark/>
          </w:tcPr>
          <w:p w14:paraId="52EEC236" w14:textId="77777777" w:rsidR="007C6A48" w:rsidRPr="007C6A48" w:rsidRDefault="007C6A48" w:rsidP="007C6A48">
            <w:pPr>
              <w:jc w:val="center"/>
              <w:rPr>
                <w:rFonts w:ascii="Times New Roman" w:eastAsia="Times New Roman" w:hAnsi="Times New Roman" w:cs="Times New Roman"/>
                <w:b/>
                <w:bCs/>
                <w:lang w:eastAsia="da-DK"/>
              </w:rPr>
            </w:pPr>
            <w:r w:rsidRPr="007C6A48">
              <w:rPr>
                <w:rFonts w:ascii="Times New Roman" w:eastAsia="Times New Roman" w:hAnsi="Times New Roman" w:cs="Times New Roman"/>
                <w:b/>
                <w:bCs/>
                <w:lang w:eastAsia="da-DK"/>
              </w:rPr>
              <w:t>Gentagelsesfigur</w:t>
            </w:r>
          </w:p>
        </w:tc>
        <w:tc>
          <w:tcPr>
            <w:tcW w:w="0" w:type="auto"/>
            <w:tcBorders>
              <w:top w:val="single" w:sz="6" w:space="0" w:color="DBDBDB"/>
              <w:left w:val="single" w:sz="6" w:space="0" w:color="DBDBDB"/>
              <w:bottom w:val="single" w:sz="6" w:space="0" w:color="DBDBDB"/>
              <w:right w:val="single" w:sz="6" w:space="0" w:color="DBDBDB"/>
            </w:tcBorders>
            <w:shd w:val="clear" w:color="auto" w:fill="E9D261"/>
            <w:tcMar>
              <w:top w:w="120" w:type="dxa"/>
              <w:left w:w="120" w:type="dxa"/>
              <w:bottom w:w="120" w:type="dxa"/>
              <w:right w:w="120" w:type="dxa"/>
            </w:tcMar>
            <w:hideMark/>
          </w:tcPr>
          <w:p w14:paraId="2C9D7832" w14:textId="77777777" w:rsidR="007C6A48" w:rsidRPr="007C6A48" w:rsidRDefault="007C6A48" w:rsidP="007C6A48">
            <w:pPr>
              <w:jc w:val="center"/>
              <w:rPr>
                <w:rFonts w:ascii="Times New Roman" w:eastAsia="Times New Roman" w:hAnsi="Times New Roman" w:cs="Times New Roman"/>
                <w:b/>
                <w:bCs/>
                <w:lang w:eastAsia="da-DK"/>
              </w:rPr>
            </w:pPr>
            <w:r w:rsidRPr="007C6A48">
              <w:rPr>
                <w:rFonts w:ascii="Times New Roman" w:eastAsia="Times New Roman" w:hAnsi="Times New Roman" w:cs="Times New Roman"/>
                <w:b/>
                <w:bCs/>
                <w:lang w:eastAsia="da-DK"/>
              </w:rPr>
              <w:t>Beskrivelse</w:t>
            </w:r>
          </w:p>
        </w:tc>
        <w:tc>
          <w:tcPr>
            <w:tcW w:w="0" w:type="auto"/>
            <w:tcBorders>
              <w:top w:val="single" w:sz="6" w:space="0" w:color="DBDBDB"/>
              <w:left w:val="single" w:sz="6" w:space="0" w:color="DBDBDB"/>
              <w:bottom w:val="single" w:sz="6" w:space="0" w:color="DBDBDB"/>
              <w:right w:val="single" w:sz="6" w:space="0" w:color="DBDBDB"/>
            </w:tcBorders>
            <w:shd w:val="clear" w:color="auto" w:fill="E9D261"/>
            <w:tcMar>
              <w:top w:w="120" w:type="dxa"/>
              <w:left w:w="120" w:type="dxa"/>
              <w:bottom w:w="120" w:type="dxa"/>
              <w:right w:w="120" w:type="dxa"/>
            </w:tcMar>
            <w:hideMark/>
          </w:tcPr>
          <w:p w14:paraId="3018E331" w14:textId="77777777" w:rsidR="007C6A48" w:rsidRPr="007C6A48" w:rsidRDefault="007C6A48" w:rsidP="007C6A48">
            <w:pPr>
              <w:jc w:val="center"/>
              <w:rPr>
                <w:rFonts w:ascii="Times New Roman" w:eastAsia="Times New Roman" w:hAnsi="Times New Roman" w:cs="Times New Roman"/>
                <w:b/>
                <w:bCs/>
                <w:lang w:eastAsia="da-DK"/>
              </w:rPr>
            </w:pPr>
            <w:r w:rsidRPr="007C6A48">
              <w:rPr>
                <w:rFonts w:ascii="Times New Roman" w:eastAsia="Times New Roman" w:hAnsi="Times New Roman" w:cs="Times New Roman"/>
                <w:b/>
                <w:bCs/>
                <w:lang w:eastAsia="da-DK"/>
              </w:rPr>
              <w:t>Eksempel</w:t>
            </w:r>
          </w:p>
        </w:tc>
      </w:tr>
      <w:tr w:rsidR="007C6A48" w:rsidRPr="007C6A48" w14:paraId="3A1510E0" w14:textId="77777777" w:rsidTr="007C6A48">
        <w:tc>
          <w:tcPr>
            <w:tcW w:w="0" w:type="auto"/>
            <w:tcBorders>
              <w:top w:val="single" w:sz="6" w:space="0" w:color="DBDBDB"/>
              <w:left w:val="single" w:sz="6" w:space="0" w:color="DBDBDB"/>
              <w:bottom w:val="single" w:sz="6" w:space="0" w:color="DBDBDB"/>
              <w:right w:val="single" w:sz="6" w:space="0" w:color="DBDBDB"/>
            </w:tcBorders>
            <w:shd w:val="clear" w:color="auto" w:fill="EFDF8E"/>
            <w:tcMar>
              <w:top w:w="120" w:type="dxa"/>
              <w:left w:w="120" w:type="dxa"/>
              <w:bottom w:w="120" w:type="dxa"/>
              <w:right w:w="120" w:type="dxa"/>
            </w:tcMar>
            <w:hideMark/>
          </w:tcPr>
          <w:p w14:paraId="6F4FFF5A" w14:textId="77777777" w:rsidR="007C6A48" w:rsidRPr="007C6A48" w:rsidRDefault="007C6A48" w:rsidP="007C6A48">
            <w:pPr>
              <w:rPr>
                <w:rFonts w:ascii="Times New Roman" w:eastAsia="Times New Roman" w:hAnsi="Times New Roman" w:cs="Times New Roman"/>
                <w:lang w:eastAsia="da-DK"/>
              </w:rPr>
            </w:pPr>
            <w:r w:rsidRPr="007C6A48">
              <w:rPr>
                <w:rFonts w:ascii="Times New Roman" w:eastAsia="Times New Roman" w:hAnsi="Times New Roman" w:cs="Times New Roman"/>
                <w:lang w:eastAsia="da-DK"/>
              </w:rPr>
              <w:t>Triklon</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6B0420F2" w14:textId="77777777" w:rsidR="007C6A48" w:rsidRPr="007C6A48" w:rsidRDefault="007C6A48" w:rsidP="007C6A48">
            <w:pPr>
              <w:rPr>
                <w:rFonts w:ascii="Times New Roman" w:eastAsia="Times New Roman" w:hAnsi="Times New Roman" w:cs="Times New Roman"/>
                <w:lang w:eastAsia="da-DK"/>
              </w:rPr>
            </w:pPr>
            <w:r w:rsidRPr="007C6A48">
              <w:rPr>
                <w:rFonts w:ascii="Times New Roman" w:eastAsia="Times New Roman" w:hAnsi="Times New Roman" w:cs="Times New Roman"/>
                <w:lang w:eastAsia="da-DK"/>
              </w:rPr>
              <w:t>Også kaldet tretrinsraket. Bruges ofte i politiske taler, hvor en sætning, et led eller en frase gentages tre gange for at skabe rytme og fremhæve budskabet</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1870CA7E" w14:textId="77777777" w:rsidR="007C6A48" w:rsidRPr="007C6A48" w:rsidRDefault="007C6A48" w:rsidP="007C6A48">
            <w:pPr>
              <w:rPr>
                <w:rFonts w:ascii="Times New Roman" w:eastAsia="Times New Roman" w:hAnsi="Times New Roman" w:cs="Times New Roman"/>
                <w:lang w:eastAsia="da-DK"/>
              </w:rPr>
            </w:pPr>
            <w:r w:rsidRPr="007C6A48">
              <w:rPr>
                <w:rFonts w:ascii="Times New Roman" w:eastAsia="Times New Roman" w:hAnsi="Times New Roman" w:cs="Times New Roman"/>
                <w:lang w:eastAsia="da-DK"/>
              </w:rPr>
              <w:t>Jeg ser et Danmark for mig med mangfoldighed. Jeg ser et Danmark med tolerance. Jeg ser et Danmark med plads til alle.</w:t>
            </w:r>
          </w:p>
        </w:tc>
      </w:tr>
      <w:tr w:rsidR="007C6A48" w:rsidRPr="007C6A48" w14:paraId="0E7AFD01" w14:textId="77777777" w:rsidTr="007C6A48">
        <w:tc>
          <w:tcPr>
            <w:tcW w:w="0" w:type="auto"/>
            <w:tcBorders>
              <w:top w:val="single" w:sz="6" w:space="0" w:color="DBDBDB"/>
              <w:left w:val="single" w:sz="6" w:space="0" w:color="DBDBDB"/>
              <w:bottom w:val="single" w:sz="6" w:space="0" w:color="DBDBDB"/>
              <w:right w:val="single" w:sz="6" w:space="0" w:color="DBDBDB"/>
            </w:tcBorders>
            <w:shd w:val="clear" w:color="auto" w:fill="EFDF8E"/>
            <w:tcMar>
              <w:top w:w="120" w:type="dxa"/>
              <w:left w:w="120" w:type="dxa"/>
              <w:bottom w:w="120" w:type="dxa"/>
              <w:right w:w="120" w:type="dxa"/>
            </w:tcMar>
            <w:hideMark/>
          </w:tcPr>
          <w:p w14:paraId="553537B1" w14:textId="77777777" w:rsidR="007C6A48" w:rsidRPr="007C6A48" w:rsidRDefault="007C6A48" w:rsidP="007C6A48">
            <w:pPr>
              <w:rPr>
                <w:rFonts w:ascii="Times New Roman" w:eastAsia="Times New Roman" w:hAnsi="Times New Roman" w:cs="Times New Roman"/>
                <w:lang w:eastAsia="da-DK"/>
              </w:rPr>
            </w:pPr>
            <w:proofErr w:type="spellStart"/>
            <w:r w:rsidRPr="007C6A48">
              <w:rPr>
                <w:rFonts w:ascii="Times New Roman" w:eastAsia="Times New Roman" w:hAnsi="Times New Roman" w:cs="Times New Roman"/>
                <w:lang w:eastAsia="da-DK"/>
              </w:rPr>
              <w:t>Epanastrofe</w:t>
            </w:r>
            <w:proofErr w:type="spellEnd"/>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75A664BA" w14:textId="77777777" w:rsidR="007C6A48" w:rsidRPr="007C6A48" w:rsidRDefault="007C6A48" w:rsidP="007C6A48">
            <w:pPr>
              <w:rPr>
                <w:rFonts w:ascii="Times New Roman" w:eastAsia="Times New Roman" w:hAnsi="Times New Roman" w:cs="Times New Roman"/>
                <w:lang w:eastAsia="da-DK"/>
              </w:rPr>
            </w:pPr>
            <w:r w:rsidRPr="007C6A48">
              <w:rPr>
                <w:rFonts w:ascii="Times New Roman" w:eastAsia="Times New Roman" w:hAnsi="Times New Roman" w:cs="Times New Roman"/>
                <w:lang w:eastAsia="da-DK"/>
              </w:rPr>
              <w:t xml:space="preserve">Betegner </w:t>
            </w:r>
            <w:proofErr w:type="gramStart"/>
            <w:r w:rsidRPr="007C6A48">
              <w:rPr>
                <w:rFonts w:ascii="Times New Roman" w:eastAsia="Times New Roman" w:hAnsi="Times New Roman" w:cs="Times New Roman"/>
                <w:lang w:eastAsia="da-DK"/>
              </w:rPr>
              <w:t>et stilistik</w:t>
            </w:r>
            <w:proofErr w:type="gramEnd"/>
            <w:r w:rsidRPr="007C6A48">
              <w:rPr>
                <w:rFonts w:ascii="Times New Roman" w:eastAsia="Times New Roman" w:hAnsi="Times New Roman" w:cs="Times New Roman"/>
                <w:lang w:eastAsia="da-DK"/>
              </w:rPr>
              <w:t xml:space="preserve"> greb, hvor man indleder en sætning med samme ord, led eller frase, som man afsluttede sætningen før med.</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0B733533" w14:textId="77777777" w:rsidR="007C6A48" w:rsidRPr="007C6A48" w:rsidRDefault="007C6A48" w:rsidP="007C6A48">
            <w:pPr>
              <w:rPr>
                <w:rFonts w:ascii="Times New Roman" w:eastAsia="Times New Roman" w:hAnsi="Times New Roman" w:cs="Times New Roman"/>
                <w:lang w:eastAsia="da-DK"/>
              </w:rPr>
            </w:pPr>
            <w:r w:rsidRPr="007C6A48">
              <w:rPr>
                <w:rFonts w:ascii="Times New Roman" w:eastAsia="Times New Roman" w:hAnsi="Times New Roman" w:cs="Times New Roman"/>
                <w:lang w:eastAsia="da-DK"/>
              </w:rPr>
              <w:t>Nu sad pigen i højen de syv år til ende.</w:t>
            </w:r>
          </w:p>
          <w:p w14:paraId="5DCCA24B" w14:textId="77777777" w:rsidR="007C6A48" w:rsidRPr="007C6A48" w:rsidRDefault="007C6A48" w:rsidP="007C6A48">
            <w:pPr>
              <w:spacing w:before="120"/>
              <w:jc w:val="right"/>
              <w:rPr>
                <w:rFonts w:ascii="Times New Roman" w:eastAsia="Times New Roman" w:hAnsi="Times New Roman" w:cs="Times New Roman"/>
                <w:i/>
                <w:iCs/>
                <w:lang w:eastAsia="da-DK"/>
              </w:rPr>
            </w:pPr>
            <w:r w:rsidRPr="007C6A48">
              <w:rPr>
                <w:rFonts w:ascii="Times New Roman" w:eastAsia="Times New Roman" w:hAnsi="Times New Roman" w:cs="Times New Roman"/>
                <w:i/>
                <w:iCs/>
                <w:lang w:eastAsia="da-DK"/>
              </w:rPr>
              <w:t>Fra folkeeventyret Pigen i Museskindspelsen, Gyldendal, 2005.</w:t>
            </w:r>
          </w:p>
        </w:tc>
      </w:tr>
      <w:tr w:rsidR="007C6A48" w:rsidRPr="007C6A48" w14:paraId="78B0DCA5" w14:textId="77777777" w:rsidTr="007C6A48">
        <w:tc>
          <w:tcPr>
            <w:tcW w:w="0" w:type="auto"/>
            <w:tcBorders>
              <w:top w:val="single" w:sz="6" w:space="0" w:color="DBDBDB"/>
              <w:left w:val="single" w:sz="6" w:space="0" w:color="DBDBDB"/>
              <w:bottom w:val="single" w:sz="6" w:space="0" w:color="DBDBDB"/>
              <w:right w:val="single" w:sz="6" w:space="0" w:color="DBDBDB"/>
            </w:tcBorders>
            <w:shd w:val="clear" w:color="auto" w:fill="EFDF8E"/>
            <w:tcMar>
              <w:top w:w="120" w:type="dxa"/>
              <w:left w:w="120" w:type="dxa"/>
              <w:bottom w:w="120" w:type="dxa"/>
              <w:right w:w="120" w:type="dxa"/>
            </w:tcMar>
            <w:hideMark/>
          </w:tcPr>
          <w:p w14:paraId="1F48B61B" w14:textId="77777777" w:rsidR="007C6A48" w:rsidRPr="007C6A48" w:rsidRDefault="007C6A48" w:rsidP="007C6A48">
            <w:pPr>
              <w:rPr>
                <w:rFonts w:ascii="Times New Roman" w:eastAsia="Times New Roman" w:hAnsi="Times New Roman" w:cs="Times New Roman"/>
                <w:lang w:eastAsia="da-DK"/>
              </w:rPr>
            </w:pPr>
            <w:r w:rsidRPr="007C6A48">
              <w:rPr>
                <w:rFonts w:ascii="Times New Roman" w:eastAsia="Times New Roman" w:hAnsi="Times New Roman" w:cs="Times New Roman"/>
                <w:lang w:eastAsia="da-DK"/>
              </w:rPr>
              <w:t>Anafor</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437ED9C3" w14:textId="77777777" w:rsidR="007C6A48" w:rsidRPr="007C6A48" w:rsidRDefault="007C6A48" w:rsidP="007C6A48">
            <w:pPr>
              <w:rPr>
                <w:rFonts w:ascii="Times New Roman" w:eastAsia="Times New Roman" w:hAnsi="Times New Roman" w:cs="Times New Roman"/>
                <w:lang w:eastAsia="da-DK"/>
              </w:rPr>
            </w:pPr>
            <w:r w:rsidRPr="007C6A48">
              <w:rPr>
                <w:rFonts w:ascii="Times New Roman" w:eastAsia="Times New Roman" w:hAnsi="Times New Roman" w:cs="Times New Roman"/>
                <w:lang w:eastAsia="da-DK"/>
              </w:rPr>
              <w:t>Betegner et stilistisk greb, hvor man gentager det første ord, led eller frase i flere sætninger.</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7474F144" w14:textId="77777777" w:rsidR="007C6A48" w:rsidRPr="007C6A48" w:rsidRDefault="007C6A48" w:rsidP="007C6A48">
            <w:pPr>
              <w:rPr>
                <w:rFonts w:ascii="Times New Roman" w:eastAsia="Times New Roman" w:hAnsi="Times New Roman" w:cs="Times New Roman"/>
                <w:lang w:eastAsia="da-DK"/>
              </w:rPr>
            </w:pPr>
            <w:r w:rsidRPr="007C6A48">
              <w:rPr>
                <w:rFonts w:ascii="Times New Roman" w:eastAsia="Times New Roman" w:hAnsi="Times New Roman" w:cs="Times New Roman"/>
                <w:lang w:eastAsia="da-DK"/>
              </w:rPr>
              <w:t>Det er det danske mareridt, og drømmen den er vores. Det er det danske mareridt, og drømmen den er ...</w:t>
            </w:r>
          </w:p>
          <w:p w14:paraId="4558BF54" w14:textId="77777777" w:rsidR="007C6A48" w:rsidRPr="007C6A48" w:rsidRDefault="007C6A48" w:rsidP="007C6A48">
            <w:pPr>
              <w:spacing w:before="120"/>
              <w:jc w:val="right"/>
              <w:rPr>
                <w:rFonts w:ascii="Times New Roman" w:eastAsia="Times New Roman" w:hAnsi="Times New Roman" w:cs="Times New Roman"/>
                <w:i/>
                <w:iCs/>
                <w:lang w:eastAsia="da-DK"/>
              </w:rPr>
            </w:pPr>
            <w:r w:rsidRPr="007C6A48">
              <w:rPr>
                <w:rFonts w:ascii="Times New Roman" w:eastAsia="Times New Roman" w:hAnsi="Times New Roman" w:cs="Times New Roman"/>
                <w:i/>
                <w:iCs/>
                <w:lang w:eastAsia="da-DK"/>
              </w:rPr>
              <w:t xml:space="preserve">Omkvædet på </w:t>
            </w:r>
            <w:proofErr w:type="spellStart"/>
            <w:r w:rsidRPr="007C6A48">
              <w:rPr>
                <w:rFonts w:ascii="Times New Roman" w:eastAsia="Times New Roman" w:hAnsi="Times New Roman" w:cs="Times New Roman"/>
                <w:i/>
                <w:iCs/>
                <w:lang w:eastAsia="da-DK"/>
              </w:rPr>
              <w:t>L.O.C.'s</w:t>
            </w:r>
            <w:proofErr w:type="spellEnd"/>
            <w:r w:rsidRPr="007C6A48">
              <w:rPr>
                <w:rFonts w:ascii="Times New Roman" w:eastAsia="Times New Roman" w:hAnsi="Times New Roman" w:cs="Times New Roman"/>
                <w:i/>
                <w:iCs/>
                <w:lang w:eastAsia="da-DK"/>
              </w:rPr>
              <w:t xml:space="preserve"> rap: "Drømmen er vores", 2019.</w:t>
            </w:r>
          </w:p>
        </w:tc>
      </w:tr>
      <w:tr w:rsidR="007C6A48" w:rsidRPr="007C6A48" w14:paraId="010F9E88" w14:textId="77777777" w:rsidTr="007C6A48">
        <w:tc>
          <w:tcPr>
            <w:tcW w:w="0" w:type="auto"/>
            <w:tcBorders>
              <w:top w:val="single" w:sz="6" w:space="0" w:color="DBDBDB"/>
              <w:left w:val="single" w:sz="6" w:space="0" w:color="DBDBDB"/>
              <w:bottom w:val="single" w:sz="6" w:space="0" w:color="DBDBDB"/>
              <w:right w:val="single" w:sz="6" w:space="0" w:color="DBDBDB"/>
            </w:tcBorders>
            <w:shd w:val="clear" w:color="auto" w:fill="EFDF8E"/>
            <w:tcMar>
              <w:top w:w="120" w:type="dxa"/>
              <w:left w:w="120" w:type="dxa"/>
              <w:bottom w:w="120" w:type="dxa"/>
              <w:right w:w="120" w:type="dxa"/>
            </w:tcMar>
            <w:hideMark/>
          </w:tcPr>
          <w:p w14:paraId="340D8BB2" w14:textId="77777777" w:rsidR="007C6A48" w:rsidRPr="007C6A48" w:rsidRDefault="007C6A48" w:rsidP="007C6A48">
            <w:pPr>
              <w:rPr>
                <w:rFonts w:ascii="Times New Roman" w:eastAsia="Times New Roman" w:hAnsi="Times New Roman" w:cs="Times New Roman"/>
                <w:lang w:eastAsia="da-DK"/>
              </w:rPr>
            </w:pPr>
            <w:r w:rsidRPr="007C6A48">
              <w:rPr>
                <w:rFonts w:ascii="Times New Roman" w:eastAsia="Times New Roman" w:hAnsi="Times New Roman" w:cs="Times New Roman"/>
                <w:lang w:eastAsia="da-DK"/>
              </w:rPr>
              <w:t>Allitteration</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06B4F8EB" w14:textId="77777777" w:rsidR="007C6A48" w:rsidRPr="007C6A48" w:rsidRDefault="007C6A48" w:rsidP="007C6A48">
            <w:pPr>
              <w:rPr>
                <w:rFonts w:ascii="Times New Roman" w:eastAsia="Times New Roman" w:hAnsi="Times New Roman" w:cs="Times New Roman"/>
                <w:lang w:eastAsia="da-DK"/>
              </w:rPr>
            </w:pPr>
            <w:r w:rsidRPr="007C6A48">
              <w:rPr>
                <w:rFonts w:ascii="Times New Roman" w:eastAsia="Times New Roman" w:hAnsi="Times New Roman" w:cs="Times New Roman"/>
                <w:lang w:eastAsia="da-DK"/>
              </w:rPr>
              <w:t>(Også kaldet bogstavrim). Er en betegnelse for lydlige gentagelser. Opstår, når ord gentager den samme startkonsonant i en betonet stavelse.</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67BE0D43" w14:textId="77777777" w:rsidR="007C6A48" w:rsidRPr="007C6A48" w:rsidRDefault="007C6A48" w:rsidP="007C6A48">
            <w:pPr>
              <w:rPr>
                <w:rFonts w:ascii="Times New Roman" w:eastAsia="Times New Roman" w:hAnsi="Times New Roman" w:cs="Times New Roman"/>
                <w:lang w:eastAsia="da-DK"/>
              </w:rPr>
            </w:pPr>
            <w:r w:rsidRPr="007C6A48">
              <w:rPr>
                <w:rFonts w:ascii="Times New Roman" w:eastAsia="Times New Roman" w:hAnsi="Times New Roman" w:cs="Times New Roman"/>
                <w:lang w:eastAsia="da-DK"/>
              </w:rPr>
              <w:t>Den dag drengen drog derudaf.</w:t>
            </w:r>
          </w:p>
        </w:tc>
      </w:tr>
      <w:tr w:rsidR="007C6A48" w:rsidRPr="007C6A48" w14:paraId="52C83E54" w14:textId="77777777" w:rsidTr="007C6A48">
        <w:tc>
          <w:tcPr>
            <w:tcW w:w="0" w:type="auto"/>
            <w:tcBorders>
              <w:top w:val="single" w:sz="6" w:space="0" w:color="DBDBDB"/>
              <w:left w:val="single" w:sz="6" w:space="0" w:color="DBDBDB"/>
              <w:bottom w:val="single" w:sz="6" w:space="0" w:color="DBDBDB"/>
              <w:right w:val="single" w:sz="6" w:space="0" w:color="DBDBDB"/>
            </w:tcBorders>
            <w:shd w:val="clear" w:color="auto" w:fill="EFDF8E"/>
            <w:tcMar>
              <w:top w:w="120" w:type="dxa"/>
              <w:left w:w="120" w:type="dxa"/>
              <w:bottom w:w="120" w:type="dxa"/>
              <w:right w:w="120" w:type="dxa"/>
            </w:tcMar>
            <w:hideMark/>
          </w:tcPr>
          <w:p w14:paraId="4F417D0E" w14:textId="77777777" w:rsidR="007C6A48" w:rsidRPr="007C6A48" w:rsidRDefault="007C6A48" w:rsidP="007C6A48">
            <w:pPr>
              <w:rPr>
                <w:rFonts w:ascii="Times New Roman" w:eastAsia="Times New Roman" w:hAnsi="Times New Roman" w:cs="Times New Roman"/>
                <w:lang w:eastAsia="da-DK"/>
              </w:rPr>
            </w:pPr>
            <w:r w:rsidRPr="007C6A48">
              <w:rPr>
                <w:rFonts w:ascii="Times New Roman" w:eastAsia="Times New Roman" w:hAnsi="Times New Roman" w:cs="Times New Roman"/>
                <w:lang w:eastAsia="da-DK"/>
              </w:rPr>
              <w:t>Assonans</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1E675E07" w14:textId="77777777" w:rsidR="007C6A48" w:rsidRPr="007C6A48" w:rsidRDefault="007C6A48" w:rsidP="007C6A48">
            <w:pPr>
              <w:rPr>
                <w:rFonts w:ascii="Times New Roman" w:eastAsia="Times New Roman" w:hAnsi="Times New Roman" w:cs="Times New Roman"/>
                <w:lang w:eastAsia="da-DK"/>
              </w:rPr>
            </w:pPr>
            <w:r w:rsidRPr="007C6A48">
              <w:rPr>
                <w:rFonts w:ascii="Times New Roman" w:eastAsia="Times New Roman" w:hAnsi="Times New Roman" w:cs="Times New Roman"/>
                <w:lang w:eastAsia="da-DK"/>
              </w:rPr>
              <w:t>Er også en lydlig gentagelse, men her er der tale om samme betonede vokal i forskellige ord. I eksemplet her fra Fru Marie Grubbe optræder gentagelsesfigurerne allitteration og assonans side om side.</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7E8EEC9C" w14:textId="77777777" w:rsidR="007C6A48" w:rsidRPr="007C6A48" w:rsidRDefault="007C6A48" w:rsidP="007C6A48">
            <w:pPr>
              <w:rPr>
                <w:rFonts w:ascii="Times New Roman" w:eastAsia="Times New Roman" w:hAnsi="Times New Roman" w:cs="Times New Roman"/>
                <w:lang w:eastAsia="da-DK"/>
              </w:rPr>
            </w:pPr>
            <w:r w:rsidRPr="007C6A48">
              <w:rPr>
                <w:rFonts w:ascii="Times New Roman" w:eastAsia="Times New Roman" w:hAnsi="Times New Roman" w:cs="Times New Roman"/>
                <w:lang w:eastAsia="da-DK"/>
              </w:rPr>
              <w:t>... hang om halsen i sine knyttede hagebånd ...</w:t>
            </w:r>
          </w:p>
          <w:p w14:paraId="4C18141B" w14:textId="77777777" w:rsidR="007C6A48" w:rsidRPr="007C6A48" w:rsidRDefault="007C6A48" w:rsidP="007C6A48">
            <w:pPr>
              <w:spacing w:before="120"/>
              <w:jc w:val="right"/>
              <w:rPr>
                <w:rFonts w:ascii="Times New Roman" w:eastAsia="Times New Roman" w:hAnsi="Times New Roman" w:cs="Times New Roman"/>
                <w:i/>
                <w:iCs/>
                <w:lang w:eastAsia="da-DK"/>
              </w:rPr>
            </w:pPr>
            <w:r w:rsidRPr="007C6A48">
              <w:rPr>
                <w:rFonts w:ascii="Times New Roman" w:eastAsia="Times New Roman" w:hAnsi="Times New Roman" w:cs="Times New Roman"/>
                <w:i/>
                <w:iCs/>
                <w:lang w:eastAsia="da-DK"/>
              </w:rPr>
              <w:t>J.P. Jacobsen: Fru Marie Grubbe, 1876.</w:t>
            </w:r>
          </w:p>
        </w:tc>
      </w:tr>
      <w:tr w:rsidR="007C6A48" w:rsidRPr="007C6A48" w14:paraId="02548DF1" w14:textId="77777777" w:rsidTr="007C6A48">
        <w:tc>
          <w:tcPr>
            <w:tcW w:w="0" w:type="auto"/>
            <w:tcBorders>
              <w:top w:val="single" w:sz="6" w:space="0" w:color="DBDBDB"/>
              <w:left w:val="single" w:sz="6" w:space="0" w:color="DBDBDB"/>
              <w:bottom w:val="single" w:sz="6" w:space="0" w:color="DBDBDB"/>
              <w:right w:val="single" w:sz="6" w:space="0" w:color="DBDBDB"/>
            </w:tcBorders>
            <w:shd w:val="clear" w:color="auto" w:fill="EFDF8E"/>
            <w:tcMar>
              <w:top w:w="120" w:type="dxa"/>
              <w:left w:w="120" w:type="dxa"/>
              <w:bottom w:w="120" w:type="dxa"/>
              <w:right w:w="120" w:type="dxa"/>
            </w:tcMar>
            <w:hideMark/>
          </w:tcPr>
          <w:p w14:paraId="670BF348" w14:textId="77777777" w:rsidR="007C6A48" w:rsidRPr="007C6A48" w:rsidRDefault="007C6A48" w:rsidP="007C6A48">
            <w:pPr>
              <w:rPr>
                <w:rFonts w:ascii="Times New Roman" w:eastAsia="Times New Roman" w:hAnsi="Times New Roman" w:cs="Times New Roman"/>
                <w:lang w:eastAsia="da-DK"/>
              </w:rPr>
            </w:pPr>
            <w:r w:rsidRPr="007C6A48">
              <w:rPr>
                <w:rFonts w:ascii="Times New Roman" w:eastAsia="Times New Roman" w:hAnsi="Times New Roman" w:cs="Times New Roman"/>
                <w:lang w:eastAsia="da-DK"/>
              </w:rPr>
              <w:t>Magiske tal</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5080F808" w14:textId="77777777" w:rsidR="007C6A48" w:rsidRPr="007C6A48" w:rsidRDefault="007C6A48" w:rsidP="007C6A48">
            <w:pPr>
              <w:rPr>
                <w:rFonts w:ascii="Times New Roman" w:eastAsia="Times New Roman" w:hAnsi="Times New Roman" w:cs="Times New Roman"/>
                <w:lang w:eastAsia="da-DK"/>
              </w:rPr>
            </w:pPr>
            <w:r w:rsidRPr="007C6A48">
              <w:rPr>
                <w:rFonts w:ascii="Times New Roman" w:eastAsia="Times New Roman" w:hAnsi="Times New Roman" w:cs="Times New Roman"/>
                <w:lang w:eastAsia="da-DK"/>
              </w:rPr>
              <w:t xml:space="preserve">En form for gentagelsesfigur, som vi kender fra eventyr og folkeviser, hvor der er fx tre eller syv søstre, eller hovedpersonen skal </w:t>
            </w:r>
            <w:r w:rsidRPr="007C6A48">
              <w:rPr>
                <w:rFonts w:ascii="Times New Roman" w:eastAsia="Times New Roman" w:hAnsi="Times New Roman" w:cs="Times New Roman"/>
                <w:lang w:eastAsia="da-DK"/>
              </w:rPr>
              <w:lastRenderedPageBreak/>
              <w:t>gentage en prøve tre gange. Gentagelsen anvendes her både som et magisk element og som et redskab til at kunne huske en mundtlig fortælling.</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7EB833CD" w14:textId="77777777" w:rsidR="007C6A48" w:rsidRPr="007C6A48" w:rsidRDefault="007C6A48" w:rsidP="007C6A48">
            <w:pPr>
              <w:rPr>
                <w:rFonts w:ascii="Times New Roman" w:eastAsia="Times New Roman" w:hAnsi="Times New Roman" w:cs="Times New Roman"/>
                <w:lang w:eastAsia="da-DK"/>
              </w:rPr>
            </w:pPr>
            <w:r w:rsidRPr="007C6A48">
              <w:rPr>
                <w:rFonts w:ascii="Times New Roman" w:eastAsia="Times New Roman" w:hAnsi="Times New Roman" w:cs="Times New Roman"/>
                <w:lang w:eastAsia="da-DK"/>
              </w:rPr>
              <w:lastRenderedPageBreak/>
              <w:t xml:space="preserve">Da det var blevet </w:t>
            </w:r>
            <w:proofErr w:type="gramStart"/>
            <w:r w:rsidRPr="007C6A48">
              <w:rPr>
                <w:rFonts w:ascii="Times New Roman" w:eastAsia="Times New Roman" w:hAnsi="Times New Roman" w:cs="Times New Roman"/>
                <w:lang w:eastAsia="da-DK"/>
              </w:rPr>
              <w:t>mørkt</w:t>
            </w:r>
            <w:proofErr w:type="gramEnd"/>
            <w:r w:rsidRPr="007C6A48">
              <w:rPr>
                <w:rFonts w:ascii="Times New Roman" w:eastAsia="Times New Roman" w:hAnsi="Times New Roman" w:cs="Times New Roman"/>
                <w:lang w:eastAsia="da-DK"/>
              </w:rPr>
              <w:t xml:space="preserve"> kom de syv små dværge ...</w:t>
            </w:r>
          </w:p>
          <w:p w14:paraId="7BA84B10" w14:textId="77777777" w:rsidR="007C6A48" w:rsidRPr="007C6A48" w:rsidRDefault="007C6A48" w:rsidP="007C6A48">
            <w:pPr>
              <w:spacing w:before="120"/>
              <w:jc w:val="right"/>
              <w:rPr>
                <w:rFonts w:ascii="Times New Roman" w:eastAsia="Times New Roman" w:hAnsi="Times New Roman" w:cs="Times New Roman"/>
                <w:i/>
                <w:iCs/>
                <w:lang w:eastAsia="da-DK"/>
              </w:rPr>
            </w:pPr>
            <w:r w:rsidRPr="007C6A48">
              <w:rPr>
                <w:rFonts w:ascii="Times New Roman" w:eastAsia="Times New Roman" w:hAnsi="Times New Roman" w:cs="Times New Roman"/>
                <w:i/>
                <w:iCs/>
                <w:lang w:eastAsia="da-DK"/>
              </w:rPr>
              <w:t>Brødrene Grimm: Snehvide.</w:t>
            </w:r>
          </w:p>
        </w:tc>
      </w:tr>
    </w:tbl>
    <w:p w14:paraId="00D60409" w14:textId="77777777" w:rsidR="007C6A48" w:rsidRPr="007C6A48" w:rsidRDefault="007C6A48" w:rsidP="007C6A48">
      <w:pPr>
        <w:shd w:val="clear" w:color="auto" w:fill="FFFFFF"/>
        <w:spacing w:after="240"/>
        <w:rPr>
          <w:rFonts w:ascii="Arial" w:eastAsia="Times New Roman" w:hAnsi="Arial" w:cs="Arial"/>
          <w:color w:val="333333"/>
          <w:sz w:val="19"/>
          <w:szCs w:val="19"/>
          <w:lang w:eastAsia="da-DK"/>
        </w:rPr>
      </w:pPr>
      <w:r w:rsidRPr="007C6A48">
        <w:rPr>
          <w:rFonts w:ascii="Arial" w:eastAsia="Times New Roman" w:hAnsi="Arial" w:cs="Arial"/>
          <w:i/>
          <w:iCs/>
          <w:color w:val="333333"/>
          <w:sz w:val="19"/>
          <w:szCs w:val="19"/>
          <w:lang w:eastAsia="da-DK"/>
        </w:rPr>
        <w:t>Modsætninger</w:t>
      </w:r>
      <w:r w:rsidRPr="007C6A48">
        <w:rPr>
          <w:rFonts w:ascii="Arial" w:eastAsia="Times New Roman" w:hAnsi="Arial" w:cs="Arial"/>
          <w:color w:val="333333"/>
          <w:sz w:val="19"/>
          <w:szCs w:val="19"/>
          <w:lang w:eastAsia="da-DK"/>
        </w:rPr>
        <w:t> er også et sprogligt greb, vi ligeledes kender bl.a. fra eventyr og folkeviser, hvor modsætningen peger på tekstens tema fx i modsætningspar som fattig versus rig, hyrdepige versus kongesøn, ond versus god. Men vi kender også modsætningen fra andre genrer. For eksempel er modsætningen et bærende element i Thomas Kingos salme “Ked af verden, og kær ad himmelen”, hvor jorden og himlen modstilles. Modsætninger kendes også som </w:t>
      </w:r>
      <w:r w:rsidRPr="007C6A48">
        <w:rPr>
          <w:rFonts w:ascii="Arial" w:eastAsia="Times New Roman" w:hAnsi="Arial" w:cs="Arial"/>
          <w:i/>
          <w:iCs/>
          <w:color w:val="333333"/>
          <w:sz w:val="19"/>
          <w:szCs w:val="19"/>
          <w:lang w:eastAsia="da-DK"/>
        </w:rPr>
        <w:t>antiteser</w:t>
      </w:r>
      <w:r w:rsidRPr="007C6A48">
        <w:rPr>
          <w:rFonts w:ascii="Arial" w:eastAsia="Times New Roman" w:hAnsi="Arial" w:cs="Arial"/>
          <w:color w:val="333333"/>
          <w:sz w:val="19"/>
          <w:szCs w:val="19"/>
          <w:lang w:eastAsia="da-DK"/>
        </w:rPr>
        <w:t>.</w:t>
      </w:r>
    </w:p>
    <w:p w14:paraId="07057B03" w14:textId="77777777" w:rsidR="007C6A48" w:rsidRDefault="007C6A48"/>
    <w:sectPr w:rsidR="007C6A48" w:rsidSect="00F020C0">
      <w:headerReference w:type="even" r:id="rId7"/>
      <w:headerReference w:type="default" r:id="rId8"/>
      <w:footerReference w:type="even" r:id="rId9"/>
      <w:footerReference w:type="default" r:id="rId10"/>
      <w:headerReference w:type="first" r:id="rId11"/>
      <w:footerReference w:type="first" r:id="rId12"/>
      <w:pgSz w:w="11900" w:h="16840"/>
      <w:pgMar w:top="1259" w:right="1134" w:bottom="1701" w:left="1134" w:header="36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5453C" w14:textId="77777777" w:rsidR="00CB5726" w:rsidRDefault="00CB5726" w:rsidP="00F020C0">
      <w:r>
        <w:separator/>
      </w:r>
    </w:p>
  </w:endnote>
  <w:endnote w:type="continuationSeparator" w:id="0">
    <w:p w14:paraId="12F38D0A" w14:textId="77777777" w:rsidR="00CB5726" w:rsidRDefault="00CB5726" w:rsidP="00F02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2FEE8" w14:textId="77777777" w:rsidR="00F020C0" w:rsidRDefault="00F020C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662C9" w14:textId="77777777" w:rsidR="00F020C0" w:rsidRDefault="00F020C0">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84DA" w14:textId="77777777" w:rsidR="00F020C0" w:rsidRDefault="00F020C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6499E" w14:textId="77777777" w:rsidR="00CB5726" w:rsidRDefault="00CB5726" w:rsidP="00F020C0">
      <w:r>
        <w:separator/>
      </w:r>
    </w:p>
  </w:footnote>
  <w:footnote w:type="continuationSeparator" w:id="0">
    <w:p w14:paraId="00457935" w14:textId="77777777" w:rsidR="00CB5726" w:rsidRDefault="00CB5726" w:rsidP="00F02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E134" w14:textId="77777777" w:rsidR="00F020C0" w:rsidRDefault="00F020C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9BC78" w14:textId="77777777" w:rsidR="00F020C0" w:rsidRDefault="00F020C0">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EA5DC" w14:textId="22188749" w:rsidR="00F020C0" w:rsidRPr="00F020C0" w:rsidRDefault="00F020C0" w:rsidP="00F020C0">
    <w:pPr>
      <w:shd w:val="clear" w:color="auto" w:fill="FFFFFF"/>
      <w:spacing w:before="375" w:after="75"/>
      <w:jc w:val="center"/>
      <w:outlineLvl w:val="0"/>
      <w:rPr>
        <w:rFonts w:ascii="inherit" w:eastAsia="Times New Roman" w:hAnsi="inherit" w:cs="Arial"/>
        <w:b/>
        <w:bCs/>
        <w:color w:val="333333"/>
        <w:kern w:val="36"/>
        <w:sz w:val="32"/>
        <w:szCs w:val="32"/>
        <w:lang w:eastAsia="da-DK"/>
      </w:rPr>
    </w:pPr>
    <w:r w:rsidRPr="00F020C0">
      <w:rPr>
        <w:rFonts w:ascii="inherit" w:eastAsia="Times New Roman" w:hAnsi="inherit" w:cs="Arial"/>
        <w:b/>
        <w:bCs/>
        <w:color w:val="333333"/>
        <w:kern w:val="36"/>
        <w:sz w:val="32"/>
        <w:szCs w:val="32"/>
        <w:lang w:eastAsia="da-DK"/>
      </w:rPr>
      <w:t>SEMANTISKE SKEMAER</w:t>
    </w:r>
  </w:p>
  <w:p w14:paraId="53084B0D" w14:textId="77777777" w:rsidR="00F020C0" w:rsidRDefault="00F020C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D867F1"/>
    <w:multiLevelType w:val="multilevel"/>
    <w:tmpl w:val="C46C05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0128547">
    <w:abstractNumId w:val="0"/>
  </w:num>
  <w:num w:numId="2" w16cid:durableId="563420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130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0C0"/>
    <w:rsid w:val="001A77DE"/>
    <w:rsid w:val="00222875"/>
    <w:rsid w:val="007341C6"/>
    <w:rsid w:val="00773D4F"/>
    <w:rsid w:val="007C6A48"/>
    <w:rsid w:val="00970150"/>
    <w:rsid w:val="00B61296"/>
    <w:rsid w:val="00C007C3"/>
    <w:rsid w:val="00CB5726"/>
    <w:rsid w:val="00D97100"/>
    <w:rsid w:val="00E40799"/>
    <w:rsid w:val="00F020C0"/>
    <w:rsid w:val="00FB4B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A15F448"/>
  <w14:defaultImageDpi w14:val="32767"/>
  <w15:chartTrackingRefBased/>
  <w15:docId w15:val="{7B192437-FE99-1C4B-A0E8-CB2EB43BD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F020C0"/>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020C0"/>
    <w:rPr>
      <w:rFonts w:ascii="Times New Roman" w:eastAsia="Times New Roman" w:hAnsi="Times New Roman" w:cs="Times New Roman"/>
      <w:b/>
      <w:bCs/>
      <w:kern w:val="36"/>
      <w:sz w:val="48"/>
      <w:szCs w:val="48"/>
      <w:lang w:eastAsia="da-DK"/>
    </w:rPr>
  </w:style>
  <w:style w:type="character" w:customStyle="1" w:styleId="label">
    <w:name w:val="label"/>
    <w:basedOn w:val="Standardskrifttypeiafsnit"/>
    <w:rsid w:val="00F020C0"/>
  </w:style>
  <w:style w:type="character" w:customStyle="1" w:styleId="credits">
    <w:name w:val="credits"/>
    <w:basedOn w:val="Standardskrifttypeiafsnit"/>
    <w:rsid w:val="00F020C0"/>
  </w:style>
  <w:style w:type="paragraph" w:styleId="NormalWeb">
    <w:name w:val="Normal (Web)"/>
    <w:basedOn w:val="Normal"/>
    <w:uiPriority w:val="99"/>
    <w:semiHidden/>
    <w:unhideWhenUsed/>
    <w:rsid w:val="00F020C0"/>
    <w:pPr>
      <w:spacing w:before="100" w:beforeAutospacing="1" w:after="100" w:afterAutospacing="1"/>
    </w:pPr>
    <w:rPr>
      <w:rFonts w:ascii="Times New Roman" w:eastAsia="Times New Roman" w:hAnsi="Times New Roman" w:cs="Times New Roman"/>
      <w:lang w:eastAsia="da-DK"/>
    </w:rPr>
  </w:style>
  <w:style w:type="character" w:customStyle="1" w:styleId="index">
    <w:name w:val="index"/>
    <w:basedOn w:val="Standardskrifttypeiafsnit"/>
    <w:rsid w:val="00F020C0"/>
  </w:style>
  <w:style w:type="paragraph" w:customStyle="1" w:styleId="example">
    <w:name w:val="example"/>
    <w:basedOn w:val="Normal"/>
    <w:rsid w:val="00F020C0"/>
    <w:pPr>
      <w:spacing w:before="100" w:beforeAutospacing="1" w:after="100" w:afterAutospacing="1"/>
    </w:pPr>
    <w:rPr>
      <w:rFonts w:ascii="Times New Roman" w:eastAsia="Times New Roman" w:hAnsi="Times New Roman" w:cs="Times New Roman"/>
      <w:lang w:eastAsia="da-DK"/>
    </w:rPr>
  </w:style>
  <w:style w:type="character" w:styleId="Fremhv">
    <w:name w:val="Emphasis"/>
    <w:basedOn w:val="Standardskrifttypeiafsnit"/>
    <w:uiPriority w:val="20"/>
    <w:qFormat/>
    <w:rsid w:val="00F020C0"/>
    <w:rPr>
      <w:i/>
      <w:iCs/>
    </w:rPr>
  </w:style>
  <w:style w:type="character" w:customStyle="1" w:styleId="glossary-term">
    <w:name w:val="glossary-term"/>
    <w:basedOn w:val="Standardskrifttypeiafsnit"/>
    <w:rsid w:val="00F020C0"/>
  </w:style>
  <w:style w:type="paragraph" w:styleId="Sidehoved">
    <w:name w:val="header"/>
    <w:basedOn w:val="Normal"/>
    <w:link w:val="SidehovedTegn"/>
    <w:uiPriority w:val="99"/>
    <w:unhideWhenUsed/>
    <w:rsid w:val="00F020C0"/>
    <w:pPr>
      <w:tabs>
        <w:tab w:val="center" w:pos="4819"/>
        <w:tab w:val="right" w:pos="9638"/>
      </w:tabs>
    </w:pPr>
  </w:style>
  <w:style w:type="character" w:customStyle="1" w:styleId="SidehovedTegn">
    <w:name w:val="Sidehoved Tegn"/>
    <w:basedOn w:val="Standardskrifttypeiafsnit"/>
    <w:link w:val="Sidehoved"/>
    <w:uiPriority w:val="99"/>
    <w:rsid w:val="00F020C0"/>
  </w:style>
  <w:style w:type="paragraph" w:styleId="Sidefod">
    <w:name w:val="footer"/>
    <w:basedOn w:val="Normal"/>
    <w:link w:val="SidefodTegn"/>
    <w:uiPriority w:val="99"/>
    <w:unhideWhenUsed/>
    <w:rsid w:val="00F020C0"/>
    <w:pPr>
      <w:tabs>
        <w:tab w:val="center" w:pos="4819"/>
        <w:tab w:val="right" w:pos="9638"/>
      </w:tabs>
    </w:pPr>
  </w:style>
  <w:style w:type="character" w:customStyle="1" w:styleId="SidefodTegn">
    <w:name w:val="Sidefod Tegn"/>
    <w:basedOn w:val="Standardskrifttypeiafsnit"/>
    <w:link w:val="Sidefod"/>
    <w:uiPriority w:val="99"/>
    <w:rsid w:val="00F020C0"/>
  </w:style>
  <w:style w:type="paragraph" w:customStyle="1" w:styleId="kilde">
    <w:name w:val="kilde"/>
    <w:basedOn w:val="Normal"/>
    <w:rsid w:val="007C6A48"/>
    <w:pPr>
      <w:spacing w:before="100" w:beforeAutospacing="1" w:after="100" w:afterAutospacing="1"/>
    </w:pPr>
    <w:rPr>
      <w:rFonts w:ascii="Times New Roman" w:eastAsia="Times New Roman" w:hAnsi="Times New Roman" w:cs="Times New Roman"/>
      <w:lang w:eastAsia="da-DK"/>
    </w:rPr>
  </w:style>
  <w:style w:type="paragraph" w:customStyle="1" w:styleId="authors">
    <w:name w:val="authors"/>
    <w:basedOn w:val="Normal"/>
    <w:rsid w:val="007C6A48"/>
    <w:pPr>
      <w:spacing w:before="100" w:beforeAutospacing="1" w:after="100" w:afterAutospacing="1"/>
    </w:pPr>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032461">
      <w:bodyDiv w:val="1"/>
      <w:marLeft w:val="0"/>
      <w:marRight w:val="0"/>
      <w:marTop w:val="0"/>
      <w:marBottom w:val="0"/>
      <w:divBdr>
        <w:top w:val="none" w:sz="0" w:space="0" w:color="auto"/>
        <w:left w:val="none" w:sz="0" w:space="0" w:color="auto"/>
        <w:bottom w:val="none" w:sz="0" w:space="0" w:color="auto"/>
        <w:right w:val="none" w:sz="0" w:space="0" w:color="auto"/>
      </w:divBdr>
      <w:divsChild>
        <w:div w:id="601651817">
          <w:marLeft w:val="0"/>
          <w:marRight w:val="0"/>
          <w:marTop w:val="0"/>
          <w:marBottom w:val="0"/>
          <w:divBdr>
            <w:top w:val="none" w:sz="0" w:space="0" w:color="auto"/>
            <w:left w:val="none" w:sz="0" w:space="0" w:color="auto"/>
            <w:bottom w:val="none" w:sz="0" w:space="0" w:color="auto"/>
            <w:right w:val="none" w:sz="0" w:space="0" w:color="auto"/>
          </w:divBdr>
        </w:div>
        <w:div w:id="2059548391">
          <w:marLeft w:val="0"/>
          <w:marRight w:val="0"/>
          <w:marTop w:val="0"/>
          <w:marBottom w:val="0"/>
          <w:divBdr>
            <w:top w:val="none" w:sz="0" w:space="0" w:color="auto"/>
            <w:left w:val="none" w:sz="0" w:space="0" w:color="auto"/>
            <w:bottom w:val="none" w:sz="0" w:space="0" w:color="auto"/>
            <w:right w:val="none" w:sz="0" w:space="0" w:color="auto"/>
          </w:divBdr>
          <w:divsChild>
            <w:div w:id="1568148941">
              <w:marLeft w:val="0"/>
              <w:marRight w:val="0"/>
              <w:marTop w:val="0"/>
              <w:marBottom w:val="240"/>
              <w:divBdr>
                <w:top w:val="none" w:sz="0" w:space="0" w:color="auto"/>
                <w:left w:val="none" w:sz="0" w:space="0" w:color="auto"/>
                <w:bottom w:val="none" w:sz="0" w:space="0" w:color="auto"/>
                <w:right w:val="none" w:sz="0" w:space="0" w:color="auto"/>
              </w:divBdr>
              <w:divsChild>
                <w:div w:id="1805077315">
                  <w:marLeft w:val="0"/>
                  <w:marRight w:val="0"/>
                  <w:marTop w:val="0"/>
                  <w:marBottom w:val="0"/>
                  <w:divBdr>
                    <w:top w:val="none" w:sz="0" w:space="0" w:color="auto"/>
                    <w:left w:val="none" w:sz="0" w:space="0" w:color="auto"/>
                    <w:bottom w:val="none" w:sz="0" w:space="0" w:color="auto"/>
                    <w:right w:val="none" w:sz="0" w:space="0" w:color="auto"/>
                  </w:divBdr>
                  <w:divsChild>
                    <w:div w:id="939802738">
                      <w:marLeft w:val="0"/>
                      <w:marRight w:val="0"/>
                      <w:marTop w:val="0"/>
                      <w:marBottom w:val="0"/>
                      <w:divBdr>
                        <w:top w:val="none" w:sz="0" w:space="0" w:color="auto"/>
                        <w:left w:val="none" w:sz="0" w:space="0" w:color="auto"/>
                        <w:bottom w:val="none" w:sz="0" w:space="0" w:color="auto"/>
                        <w:right w:val="none" w:sz="0" w:space="0" w:color="auto"/>
                      </w:divBdr>
                    </w:div>
                    <w:div w:id="2031444578">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2035763515">
              <w:marLeft w:val="0"/>
              <w:marRight w:val="0"/>
              <w:marTop w:val="0"/>
              <w:marBottom w:val="0"/>
              <w:divBdr>
                <w:top w:val="none" w:sz="0" w:space="0" w:color="auto"/>
                <w:left w:val="none" w:sz="0" w:space="0" w:color="auto"/>
                <w:bottom w:val="none" w:sz="0" w:space="0" w:color="auto"/>
                <w:right w:val="none" w:sz="0" w:space="0" w:color="auto"/>
              </w:divBdr>
            </w:div>
          </w:divsChild>
        </w:div>
        <w:div w:id="263656944">
          <w:marLeft w:val="-15"/>
          <w:marRight w:val="-15"/>
          <w:marTop w:val="0"/>
          <w:marBottom w:val="300"/>
          <w:divBdr>
            <w:top w:val="single" w:sz="6" w:space="0" w:color="CCCCCC"/>
            <w:left w:val="single" w:sz="6" w:space="0" w:color="CCCCCC"/>
            <w:bottom w:val="single" w:sz="6" w:space="0" w:color="CCCCCC"/>
            <w:right w:val="single" w:sz="6" w:space="0" w:color="CCCCCC"/>
          </w:divBdr>
          <w:divsChild>
            <w:div w:id="1890874947">
              <w:marLeft w:val="0"/>
              <w:marRight w:val="0"/>
              <w:marTop w:val="0"/>
              <w:marBottom w:val="0"/>
              <w:divBdr>
                <w:top w:val="none" w:sz="0" w:space="0" w:color="auto"/>
                <w:left w:val="none" w:sz="0" w:space="0" w:color="auto"/>
                <w:bottom w:val="none" w:sz="0" w:space="0" w:color="auto"/>
                <w:right w:val="none" w:sz="0" w:space="0" w:color="auto"/>
              </w:divBdr>
              <w:divsChild>
                <w:div w:id="1290087914">
                  <w:marLeft w:val="0"/>
                  <w:marRight w:val="0"/>
                  <w:marTop w:val="0"/>
                  <w:marBottom w:val="0"/>
                  <w:divBdr>
                    <w:top w:val="none" w:sz="0" w:space="0" w:color="auto"/>
                    <w:left w:val="none" w:sz="0" w:space="0" w:color="auto"/>
                    <w:bottom w:val="none" w:sz="0" w:space="0" w:color="auto"/>
                    <w:right w:val="none" w:sz="0" w:space="0" w:color="auto"/>
                  </w:divBdr>
                </w:div>
                <w:div w:id="617294944">
                  <w:marLeft w:val="0"/>
                  <w:marRight w:val="0"/>
                  <w:marTop w:val="0"/>
                  <w:marBottom w:val="240"/>
                  <w:divBdr>
                    <w:top w:val="none" w:sz="0" w:space="0" w:color="auto"/>
                    <w:left w:val="none" w:sz="0" w:space="0" w:color="auto"/>
                    <w:bottom w:val="none" w:sz="0" w:space="0" w:color="auto"/>
                    <w:right w:val="none" w:sz="0" w:space="0" w:color="auto"/>
                  </w:divBdr>
                  <w:divsChild>
                    <w:div w:id="103870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06524">
          <w:marLeft w:val="0"/>
          <w:marRight w:val="0"/>
          <w:marTop w:val="0"/>
          <w:marBottom w:val="0"/>
          <w:divBdr>
            <w:top w:val="none" w:sz="0" w:space="0" w:color="auto"/>
            <w:left w:val="none" w:sz="0" w:space="0" w:color="auto"/>
            <w:bottom w:val="none" w:sz="0" w:space="0" w:color="auto"/>
            <w:right w:val="none" w:sz="0" w:space="0" w:color="auto"/>
          </w:divBdr>
        </w:div>
      </w:divsChild>
    </w:div>
    <w:div w:id="532546091">
      <w:bodyDiv w:val="1"/>
      <w:marLeft w:val="0"/>
      <w:marRight w:val="0"/>
      <w:marTop w:val="0"/>
      <w:marBottom w:val="0"/>
      <w:divBdr>
        <w:top w:val="none" w:sz="0" w:space="0" w:color="auto"/>
        <w:left w:val="none" w:sz="0" w:space="0" w:color="auto"/>
        <w:bottom w:val="none" w:sz="0" w:space="0" w:color="auto"/>
        <w:right w:val="none" w:sz="0" w:space="0" w:color="auto"/>
      </w:divBdr>
    </w:div>
    <w:div w:id="630095114">
      <w:bodyDiv w:val="1"/>
      <w:marLeft w:val="0"/>
      <w:marRight w:val="0"/>
      <w:marTop w:val="0"/>
      <w:marBottom w:val="0"/>
      <w:divBdr>
        <w:top w:val="none" w:sz="0" w:space="0" w:color="auto"/>
        <w:left w:val="none" w:sz="0" w:space="0" w:color="auto"/>
        <w:bottom w:val="none" w:sz="0" w:space="0" w:color="auto"/>
        <w:right w:val="none" w:sz="0" w:space="0" w:color="auto"/>
      </w:divBdr>
    </w:div>
    <w:div w:id="2017069217">
      <w:bodyDiv w:val="1"/>
      <w:marLeft w:val="0"/>
      <w:marRight w:val="0"/>
      <w:marTop w:val="0"/>
      <w:marBottom w:val="0"/>
      <w:divBdr>
        <w:top w:val="none" w:sz="0" w:space="0" w:color="auto"/>
        <w:left w:val="none" w:sz="0" w:space="0" w:color="auto"/>
        <w:bottom w:val="none" w:sz="0" w:space="0" w:color="auto"/>
        <w:right w:val="none" w:sz="0" w:space="0" w:color="auto"/>
      </w:divBdr>
      <w:divsChild>
        <w:div w:id="1380478304">
          <w:marLeft w:val="0"/>
          <w:marRight w:val="0"/>
          <w:marTop w:val="0"/>
          <w:marBottom w:val="0"/>
          <w:divBdr>
            <w:top w:val="none" w:sz="0" w:space="0" w:color="auto"/>
            <w:left w:val="none" w:sz="0" w:space="0" w:color="auto"/>
            <w:bottom w:val="none" w:sz="0" w:space="0" w:color="auto"/>
            <w:right w:val="none" w:sz="0" w:space="0" w:color="auto"/>
          </w:divBdr>
          <w:divsChild>
            <w:div w:id="100914257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823356158">
          <w:marLeft w:val="0"/>
          <w:marRight w:val="0"/>
          <w:marTop w:val="0"/>
          <w:marBottom w:val="0"/>
          <w:divBdr>
            <w:top w:val="none" w:sz="0" w:space="0" w:color="auto"/>
            <w:left w:val="none" w:sz="0" w:space="0" w:color="auto"/>
            <w:bottom w:val="none" w:sz="0" w:space="0" w:color="auto"/>
            <w:right w:val="none" w:sz="0" w:space="0" w:color="auto"/>
          </w:divBdr>
        </w:div>
        <w:div w:id="1435246349">
          <w:marLeft w:val="0"/>
          <w:marRight w:val="0"/>
          <w:marTop w:val="0"/>
          <w:marBottom w:val="240"/>
          <w:divBdr>
            <w:top w:val="none" w:sz="0" w:space="0" w:color="auto"/>
            <w:left w:val="none" w:sz="0" w:space="0" w:color="auto"/>
            <w:bottom w:val="none" w:sz="0" w:space="0" w:color="auto"/>
            <w:right w:val="none" w:sz="0" w:space="0" w:color="auto"/>
          </w:divBdr>
        </w:div>
        <w:div w:id="1277371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785</Words>
  <Characters>4789</Characters>
  <Application>Microsoft Office Word</Application>
  <DocSecurity>0</DocSecurity>
  <Lines>39</Lines>
  <Paragraphs>11</Paragraphs>
  <ScaleCrop>false</ScaleCrop>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Maria Krarup Hansen</dc:creator>
  <cp:keywords/>
  <dc:description/>
  <cp:lastModifiedBy>[MR]  Maria Krarup Hansen</cp:lastModifiedBy>
  <cp:revision>2</cp:revision>
  <dcterms:created xsi:type="dcterms:W3CDTF">2023-11-22T07:47:00Z</dcterms:created>
  <dcterms:modified xsi:type="dcterms:W3CDTF">2023-11-22T07:47:00Z</dcterms:modified>
</cp:coreProperties>
</file>