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DA7A" w14:textId="573B4DAB" w:rsidR="003F5B21" w:rsidRPr="00E2513B" w:rsidRDefault="00494D3C" w:rsidP="003F5B21">
      <w:pPr>
        <w:rPr>
          <w:b/>
          <w:bCs/>
          <w:sz w:val="28"/>
          <w:szCs w:val="28"/>
        </w:rPr>
      </w:pPr>
      <w:r>
        <w:rPr>
          <w:b/>
          <w:bCs/>
          <w:sz w:val="28"/>
          <w:szCs w:val="28"/>
        </w:rPr>
        <w:t>Sorgpilen, Klassisk tekst</w:t>
      </w:r>
      <w:r w:rsidR="00531C9D">
        <w:rPr>
          <w:b/>
          <w:bCs/>
          <w:sz w:val="28"/>
          <w:szCs w:val="28"/>
        </w:rPr>
        <w:t xml:space="preserve"> til buddhisme </w:t>
      </w:r>
    </w:p>
    <w:p w14:paraId="0EE169AB" w14:textId="77777777" w:rsidR="00494D3C" w:rsidRDefault="00494D3C" w:rsidP="005102AF">
      <w:pPr>
        <w:rPr>
          <w:bCs/>
          <w:color w:val="FF0000"/>
        </w:rPr>
      </w:pPr>
    </w:p>
    <w:p w14:paraId="789F7572" w14:textId="13B3FAF0" w:rsidR="00494D3C" w:rsidRPr="00494D3C" w:rsidRDefault="00494D3C" w:rsidP="00494D3C">
      <w:pPr>
        <w:rPr>
          <w:rFonts w:ascii="Calibri" w:eastAsia="SimSun" w:hAnsi="Calibri" w:cs="Arial"/>
          <w:b/>
          <w:bCs/>
          <w:u w:val="single"/>
        </w:rPr>
      </w:pPr>
      <w:r>
        <w:rPr>
          <w:rFonts w:ascii="Calibri" w:eastAsia="SimSun" w:hAnsi="Calibri" w:cs="Arial"/>
          <w:b/>
          <w:bCs/>
          <w:u w:val="single"/>
        </w:rPr>
        <w:t>B</w:t>
      </w:r>
      <w:r w:rsidRPr="00494D3C">
        <w:rPr>
          <w:rFonts w:ascii="Calibri" w:eastAsia="SimSun" w:hAnsi="Calibri" w:cs="Arial"/>
          <w:b/>
          <w:bCs/>
          <w:u w:val="single"/>
        </w:rPr>
        <w:t xml:space="preserve">uddhismens hellige skrifter (se </w:t>
      </w:r>
      <w:r>
        <w:rPr>
          <w:rFonts w:ascii="Calibri" w:eastAsia="SimSun" w:hAnsi="Calibri" w:cs="Arial"/>
          <w:b/>
          <w:bCs/>
          <w:u w:val="single"/>
        </w:rPr>
        <w:t xml:space="preserve">også </w:t>
      </w:r>
      <w:r w:rsidR="00EF7647">
        <w:rPr>
          <w:rFonts w:ascii="Calibri" w:eastAsia="SimSun" w:hAnsi="Calibri" w:cs="Arial"/>
          <w:b/>
          <w:bCs/>
          <w:u w:val="single"/>
        </w:rPr>
        <w:t>s. 147</w:t>
      </w:r>
      <w:r w:rsidR="00AD40F6">
        <w:rPr>
          <w:rFonts w:ascii="Calibri" w:eastAsia="SimSun" w:hAnsi="Calibri" w:cs="Arial"/>
          <w:b/>
          <w:bCs/>
          <w:u w:val="single"/>
        </w:rPr>
        <w:t xml:space="preserve"> i </w:t>
      </w:r>
      <w:r w:rsidR="001F1557" w:rsidRPr="001F1557">
        <w:rPr>
          <w:rFonts w:ascii="Calibri" w:eastAsia="SimSun" w:hAnsi="Calibri" w:cs="Arial"/>
          <w:b/>
          <w:bCs/>
          <w:u w:val="single"/>
        </w:rPr>
        <w:t>Grundbog til religion C, 2. udgave 2012</w:t>
      </w:r>
      <w:r w:rsidRPr="00494D3C">
        <w:rPr>
          <w:rFonts w:ascii="Calibri" w:eastAsia="SimSun" w:hAnsi="Calibri" w:cs="Arial"/>
          <w:b/>
          <w:bCs/>
          <w:u w:val="single"/>
        </w:rPr>
        <w:t>)</w:t>
      </w:r>
      <w:r w:rsidRPr="00494D3C">
        <w:rPr>
          <w:rFonts w:ascii="Calibri" w:eastAsia="SimSun" w:hAnsi="Calibri" w:cs="Arial"/>
          <w:bCs/>
        </w:rPr>
        <w:t xml:space="preserve">: </w:t>
      </w:r>
    </w:p>
    <w:p w14:paraId="18699CB0" w14:textId="77777777" w:rsidR="00494D3C" w:rsidRPr="00494D3C" w:rsidRDefault="00494D3C" w:rsidP="00494D3C">
      <w:pPr>
        <w:rPr>
          <w:rFonts w:ascii="Calibri" w:eastAsia="SimSun" w:hAnsi="Calibri" w:cs="Arial"/>
          <w:color w:val="FF0000"/>
        </w:rPr>
      </w:pPr>
      <w:r w:rsidRPr="00494D3C">
        <w:rPr>
          <w:rFonts w:ascii="Calibri" w:eastAsia="SimSun" w:hAnsi="Calibri" w:cs="Arial"/>
          <w:color w:val="FF0000"/>
        </w:rPr>
        <w:t>De buddhistiske helligskrifter (</w:t>
      </w:r>
      <w:proofErr w:type="spellStart"/>
      <w:r w:rsidRPr="00494D3C">
        <w:rPr>
          <w:rFonts w:ascii="Calibri" w:eastAsia="SimSun" w:hAnsi="Calibri" w:cs="Arial"/>
          <w:color w:val="FF0000"/>
        </w:rPr>
        <w:t>sutraer</w:t>
      </w:r>
      <w:proofErr w:type="spellEnd"/>
      <w:r w:rsidRPr="00494D3C">
        <w:rPr>
          <w:rFonts w:ascii="Calibri" w:eastAsia="SimSun" w:hAnsi="Calibri" w:cs="Arial"/>
          <w:color w:val="FF0000"/>
        </w:rPr>
        <w:t>) er samlet i en kanon ved navn </w:t>
      </w:r>
      <w:proofErr w:type="spellStart"/>
      <w:r w:rsidRPr="00494D3C">
        <w:rPr>
          <w:rFonts w:ascii="Calibri" w:eastAsia="SimSun" w:hAnsi="Calibri" w:cs="Arial"/>
          <w:b/>
          <w:bCs/>
          <w:i/>
          <w:iCs/>
          <w:color w:val="FF0000"/>
        </w:rPr>
        <w:t>Tripitaka</w:t>
      </w:r>
      <w:proofErr w:type="spellEnd"/>
      <w:r w:rsidRPr="00494D3C">
        <w:rPr>
          <w:rFonts w:ascii="Calibri" w:eastAsia="SimSun" w:hAnsi="Calibri" w:cs="Arial"/>
          <w:color w:val="FF0000"/>
        </w:rPr>
        <w:t>. Navnet betyder egentlig "de tre kurve" og refererer til de tre dele, den består af:</w:t>
      </w:r>
    </w:p>
    <w:p w14:paraId="26ACD299" w14:textId="77777777" w:rsidR="00494D3C" w:rsidRPr="00494D3C" w:rsidRDefault="00494D3C" w:rsidP="00494D3C">
      <w:pPr>
        <w:numPr>
          <w:ilvl w:val="0"/>
          <w:numId w:val="4"/>
        </w:numPr>
        <w:spacing w:after="160" w:line="259" w:lineRule="auto"/>
        <w:rPr>
          <w:rFonts w:ascii="Calibri" w:eastAsia="SimSun" w:hAnsi="Calibri" w:cs="Arial"/>
          <w:color w:val="FF0000"/>
        </w:rPr>
      </w:pPr>
      <w:proofErr w:type="spellStart"/>
      <w:r w:rsidRPr="00494D3C">
        <w:rPr>
          <w:rFonts w:ascii="Calibri" w:eastAsia="SimSun" w:hAnsi="Calibri" w:cs="Arial"/>
          <w:color w:val="FF0000"/>
        </w:rPr>
        <w:t>Sutraerne</w:t>
      </w:r>
      <w:proofErr w:type="spellEnd"/>
      <w:r w:rsidRPr="00494D3C">
        <w:rPr>
          <w:rFonts w:ascii="Calibri" w:eastAsia="SimSun" w:hAnsi="Calibri" w:cs="Arial"/>
          <w:color w:val="FF0000"/>
        </w:rPr>
        <w:t>: prædikenerne, dvs. de taler, Buddha holdt.</w:t>
      </w:r>
    </w:p>
    <w:p w14:paraId="4F17F612" w14:textId="77777777" w:rsidR="00494D3C" w:rsidRPr="00494D3C" w:rsidRDefault="00494D3C" w:rsidP="00494D3C">
      <w:pPr>
        <w:numPr>
          <w:ilvl w:val="0"/>
          <w:numId w:val="4"/>
        </w:numPr>
        <w:spacing w:after="160" w:line="259" w:lineRule="auto"/>
        <w:rPr>
          <w:rFonts w:ascii="Calibri" w:eastAsia="SimSun" w:hAnsi="Calibri" w:cs="Arial"/>
          <w:color w:val="FF0000"/>
        </w:rPr>
      </w:pPr>
      <w:proofErr w:type="spellStart"/>
      <w:r w:rsidRPr="00494D3C">
        <w:rPr>
          <w:rFonts w:ascii="Calibri" w:eastAsia="SimSun" w:hAnsi="Calibri" w:cs="Arial"/>
          <w:color w:val="FF0000"/>
        </w:rPr>
        <w:t>Sastraerne</w:t>
      </w:r>
      <w:proofErr w:type="spellEnd"/>
      <w:r w:rsidRPr="00494D3C">
        <w:rPr>
          <w:rFonts w:ascii="Calibri" w:eastAsia="SimSun" w:hAnsi="Calibri" w:cs="Arial"/>
          <w:color w:val="FF0000"/>
        </w:rPr>
        <w:t xml:space="preserve">: kommentarerne, dvs. udlægninger af </w:t>
      </w:r>
      <w:proofErr w:type="spellStart"/>
      <w:r w:rsidRPr="00494D3C">
        <w:rPr>
          <w:rFonts w:ascii="Calibri" w:eastAsia="SimSun" w:hAnsi="Calibri" w:cs="Arial"/>
          <w:color w:val="FF0000"/>
        </w:rPr>
        <w:t>sutraerne</w:t>
      </w:r>
      <w:proofErr w:type="spellEnd"/>
      <w:r w:rsidRPr="00494D3C">
        <w:rPr>
          <w:rFonts w:ascii="Calibri" w:eastAsia="SimSun" w:hAnsi="Calibri" w:cs="Arial"/>
          <w:color w:val="FF0000"/>
        </w:rPr>
        <w:t>.</w:t>
      </w:r>
    </w:p>
    <w:p w14:paraId="6547FD1C" w14:textId="77777777" w:rsidR="00494D3C" w:rsidRPr="00494D3C" w:rsidRDefault="00494D3C" w:rsidP="00494D3C">
      <w:pPr>
        <w:numPr>
          <w:ilvl w:val="0"/>
          <w:numId w:val="4"/>
        </w:numPr>
        <w:spacing w:after="160" w:line="259" w:lineRule="auto"/>
        <w:rPr>
          <w:rFonts w:ascii="Calibri" w:eastAsia="SimSun" w:hAnsi="Calibri" w:cs="Arial"/>
          <w:color w:val="FF0000"/>
        </w:rPr>
      </w:pPr>
      <w:proofErr w:type="spellStart"/>
      <w:r w:rsidRPr="00494D3C">
        <w:rPr>
          <w:rFonts w:ascii="Calibri" w:eastAsia="SimSun" w:hAnsi="Calibri" w:cs="Arial"/>
          <w:color w:val="FF0000"/>
        </w:rPr>
        <w:t>Vinyaen</w:t>
      </w:r>
      <w:proofErr w:type="spellEnd"/>
      <w:r w:rsidRPr="00494D3C">
        <w:rPr>
          <w:rFonts w:ascii="Calibri" w:eastAsia="SimSun" w:hAnsi="Calibri" w:cs="Arial"/>
          <w:color w:val="FF0000"/>
        </w:rPr>
        <w:t>: de moralnormer, som både munke og lægfolk skal leve efter, fx forbud mod at slå ihjel.</w:t>
      </w:r>
    </w:p>
    <w:p w14:paraId="15C5FC95" w14:textId="77777777" w:rsidR="00494D3C" w:rsidRPr="00494D3C" w:rsidRDefault="00494D3C" w:rsidP="00494D3C">
      <w:pPr>
        <w:rPr>
          <w:rFonts w:ascii="Calibri" w:eastAsia="SimSun" w:hAnsi="Calibri" w:cs="Arial"/>
          <w:color w:val="FF0000"/>
        </w:rPr>
      </w:pPr>
      <w:r w:rsidRPr="00494D3C">
        <w:rPr>
          <w:rFonts w:ascii="Calibri" w:eastAsia="SimSun" w:hAnsi="Calibri" w:cs="Arial"/>
          <w:color w:val="FF0000"/>
        </w:rPr>
        <w:t>Oprindelig blev Buddhas lære mundtligt overleveret af munke, men et par hundrede år efter Buddhas død blev de skrevet ned.</w:t>
      </w:r>
    </w:p>
    <w:p w14:paraId="677798B3" w14:textId="77777777" w:rsidR="00494D3C" w:rsidRPr="00494D3C" w:rsidRDefault="00494D3C" w:rsidP="00494D3C">
      <w:pPr>
        <w:rPr>
          <w:rFonts w:ascii="Calibri" w:eastAsia="SimSun" w:hAnsi="Calibri" w:cs="Arial"/>
          <w:color w:val="FF0000"/>
        </w:rPr>
      </w:pPr>
      <w:proofErr w:type="spellStart"/>
      <w:r w:rsidRPr="00494D3C">
        <w:rPr>
          <w:rFonts w:ascii="Calibri" w:eastAsia="SimSun" w:hAnsi="Calibri" w:cs="Arial"/>
          <w:color w:val="FF0000"/>
        </w:rPr>
        <w:t>Tripitakaen</w:t>
      </w:r>
      <w:proofErr w:type="spellEnd"/>
      <w:r w:rsidRPr="00494D3C">
        <w:rPr>
          <w:rFonts w:ascii="Calibri" w:eastAsia="SimSun" w:hAnsi="Calibri" w:cs="Arial"/>
          <w:color w:val="FF0000"/>
        </w:rPr>
        <w:t xml:space="preserve"> findes i forskellige variationer, og en af de kendteste er </w:t>
      </w:r>
      <w:proofErr w:type="spellStart"/>
      <w:r w:rsidRPr="00494D3C">
        <w:rPr>
          <w:rFonts w:ascii="Calibri" w:eastAsia="SimSun" w:hAnsi="Calibri" w:cs="Arial"/>
          <w:color w:val="FF0000"/>
        </w:rPr>
        <w:t>Pali</w:t>
      </w:r>
      <w:proofErr w:type="spellEnd"/>
      <w:r w:rsidRPr="00494D3C">
        <w:rPr>
          <w:rFonts w:ascii="Calibri" w:eastAsia="SimSun" w:hAnsi="Calibri" w:cs="Arial"/>
          <w:color w:val="FF0000"/>
        </w:rPr>
        <w:t xml:space="preserve">-kanon, der stammer fra Sri Lanka og er skrevet på det </w:t>
      </w:r>
      <w:proofErr w:type="spellStart"/>
      <w:r w:rsidRPr="00494D3C">
        <w:rPr>
          <w:rFonts w:ascii="Calibri" w:eastAsia="SimSun" w:hAnsi="Calibri" w:cs="Arial"/>
          <w:color w:val="FF0000"/>
        </w:rPr>
        <w:t>oldindiske</w:t>
      </w:r>
      <w:proofErr w:type="spellEnd"/>
      <w:r w:rsidRPr="00494D3C">
        <w:rPr>
          <w:rFonts w:ascii="Calibri" w:eastAsia="SimSun" w:hAnsi="Calibri" w:cs="Arial"/>
          <w:color w:val="FF0000"/>
        </w:rPr>
        <w:t xml:space="preserve"> sprog </w:t>
      </w:r>
      <w:proofErr w:type="spellStart"/>
      <w:r w:rsidRPr="00494D3C">
        <w:rPr>
          <w:rFonts w:ascii="Calibri" w:eastAsia="SimSun" w:hAnsi="Calibri" w:cs="Arial"/>
          <w:color w:val="FF0000"/>
        </w:rPr>
        <w:t>pali</w:t>
      </w:r>
      <w:proofErr w:type="spellEnd"/>
      <w:r w:rsidRPr="00494D3C">
        <w:rPr>
          <w:rFonts w:ascii="Calibri" w:eastAsia="SimSun" w:hAnsi="Calibri" w:cs="Arial"/>
          <w:color w:val="FF0000"/>
        </w:rPr>
        <w:t xml:space="preserve"> omkring vores tidsregnings begyndelse. 55 bøger. </w:t>
      </w:r>
      <w:proofErr w:type="spellStart"/>
      <w:r w:rsidRPr="00494D3C">
        <w:rPr>
          <w:rFonts w:ascii="Calibri" w:eastAsia="SimSun" w:hAnsi="Calibri" w:cs="Arial"/>
          <w:color w:val="FF0000"/>
        </w:rPr>
        <w:t>Theravada</w:t>
      </w:r>
      <w:proofErr w:type="spellEnd"/>
      <w:r w:rsidRPr="00494D3C">
        <w:rPr>
          <w:rFonts w:ascii="Calibri" w:eastAsia="SimSun" w:hAnsi="Calibri" w:cs="Arial"/>
          <w:color w:val="FF0000"/>
        </w:rPr>
        <w:t>-skolens hellige skrifter.</w:t>
      </w:r>
    </w:p>
    <w:p w14:paraId="7229EA2F" w14:textId="77777777" w:rsidR="00494D3C" w:rsidRPr="00494D3C" w:rsidRDefault="00494D3C" w:rsidP="00494D3C">
      <w:pPr>
        <w:rPr>
          <w:rFonts w:ascii="Calibri" w:eastAsia="SimSun" w:hAnsi="Calibri" w:cs="Arial"/>
          <w:color w:val="FF0000"/>
        </w:rPr>
      </w:pPr>
      <w:r w:rsidRPr="00494D3C">
        <w:rPr>
          <w:rFonts w:ascii="Calibri" w:eastAsia="SimSun" w:hAnsi="Calibri" w:cs="Arial"/>
          <w:color w:val="FF0000"/>
        </w:rPr>
        <w:t xml:space="preserve">Selvom </w:t>
      </w:r>
      <w:proofErr w:type="spellStart"/>
      <w:r w:rsidRPr="00494D3C">
        <w:rPr>
          <w:rFonts w:ascii="Calibri" w:eastAsia="SimSun" w:hAnsi="Calibri" w:cs="Arial"/>
          <w:color w:val="FF0000"/>
        </w:rPr>
        <w:t>sutraerne</w:t>
      </w:r>
      <w:proofErr w:type="spellEnd"/>
      <w:r w:rsidRPr="00494D3C">
        <w:rPr>
          <w:rFonts w:ascii="Calibri" w:eastAsia="SimSun" w:hAnsi="Calibri" w:cs="Arial"/>
          <w:color w:val="FF0000"/>
        </w:rPr>
        <w:t xml:space="preserve"> stammer fra forskellige perioder og afspejler forskellige synspunkter, mener mange buddhister, at de har Buddha som ophavsmand.</w:t>
      </w:r>
    </w:p>
    <w:p w14:paraId="4D0A0123" w14:textId="77777777" w:rsidR="00494D3C" w:rsidRDefault="00494D3C" w:rsidP="005102AF">
      <w:pPr>
        <w:rPr>
          <w:bCs/>
          <w:color w:val="FF0000"/>
        </w:rPr>
      </w:pPr>
    </w:p>
    <w:p w14:paraId="13DA837E" w14:textId="13BDFA5E" w:rsidR="003160AC" w:rsidRPr="003160AC" w:rsidRDefault="003160AC" w:rsidP="003160AC">
      <w:pPr>
        <w:rPr>
          <w:b/>
        </w:rPr>
      </w:pPr>
      <w:r w:rsidRPr="003160AC">
        <w:rPr>
          <w:b/>
        </w:rPr>
        <w:t xml:space="preserve">Prøv </w:t>
      </w:r>
      <w:r w:rsidR="00494D3C">
        <w:rPr>
          <w:b/>
        </w:rPr>
        <w:t xml:space="preserve">at </w:t>
      </w:r>
      <w:r w:rsidR="00695760">
        <w:rPr>
          <w:b/>
        </w:rPr>
        <w:t>bearbejde</w:t>
      </w:r>
      <w:r w:rsidR="00494D3C">
        <w:rPr>
          <w:b/>
        </w:rPr>
        <w:t xml:space="preserve"> teksten</w:t>
      </w:r>
      <w:r w:rsidRPr="003160AC">
        <w:rPr>
          <w:b/>
        </w:rPr>
        <w:t xml:space="preserve"> som var det en eksamenstekst </w:t>
      </w:r>
      <w:r w:rsidR="00494D3C">
        <w:rPr>
          <w:b/>
        </w:rPr>
        <w:t xml:space="preserve">(husk at henvise og citere fra selve teksten) </w:t>
      </w:r>
      <w:r w:rsidRPr="003160AC">
        <w:rPr>
          <w:b/>
        </w:rPr>
        <w:t xml:space="preserve">- brug </w:t>
      </w:r>
      <w:r w:rsidR="00494D3C">
        <w:rPr>
          <w:b/>
        </w:rPr>
        <w:t>Tekstanalysemodel (u</w:t>
      </w:r>
      <w:r w:rsidRPr="003160AC">
        <w:rPr>
          <w:b/>
        </w:rPr>
        <w:t>pload</w:t>
      </w:r>
      <w:r w:rsidR="00494D3C">
        <w:rPr>
          <w:b/>
        </w:rPr>
        <w:t>et</w:t>
      </w:r>
      <w:r w:rsidRPr="003160AC">
        <w:rPr>
          <w:b/>
        </w:rPr>
        <w:t>)</w:t>
      </w:r>
    </w:p>
    <w:p w14:paraId="40F34234" w14:textId="77777777" w:rsidR="003F5B21" w:rsidRPr="0062354D" w:rsidRDefault="003F5B21" w:rsidP="003F5B21">
      <w:pPr>
        <w:rPr>
          <w:i/>
        </w:rPr>
      </w:pPr>
      <w:r w:rsidRPr="0062354D">
        <w:rPr>
          <w:i/>
        </w:rPr>
        <w:t>Sorg og lidelse er uomgængelige vilkår, som intet menneske kan undgå. Det afgørende er ifølge Buddha, hvordan man forholder sig til disse grundvilkår.</w:t>
      </w:r>
    </w:p>
    <w:p w14:paraId="4F3F9F07" w14:textId="77777777" w:rsidR="007734FA" w:rsidRDefault="007734FA" w:rsidP="003F5B21">
      <w:pPr>
        <w:rPr>
          <w:b/>
          <w:bCs/>
        </w:rPr>
      </w:pPr>
    </w:p>
    <w:p w14:paraId="56C4BD16" w14:textId="77777777" w:rsidR="003F5B21" w:rsidRPr="003F5B21" w:rsidRDefault="003F5B21" w:rsidP="003F5B21">
      <w:pPr>
        <w:rPr>
          <w:b/>
          <w:bCs/>
        </w:rPr>
      </w:pPr>
      <w:r w:rsidRPr="003F5B21">
        <w:rPr>
          <w:b/>
          <w:bCs/>
        </w:rPr>
        <w:t>Sorgpilen (</w:t>
      </w:r>
      <w:proofErr w:type="spellStart"/>
      <w:r w:rsidRPr="003F5B21">
        <w:rPr>
          <w:b/>
          <w:bCs/>
        </w:rPr>
        <w:t>Dharmaen</w:t>
      </w:r>
      <w:proofErr w:type="spellEnd"/>
      <w:r w:rsidRPr="003F5B21">
        <w:rPr>
          <w:b/>
          <w:bCs/>
        </w:rPr>
        <w:t>)</w:t>
      </w:r>
    </w:p>
    <w:p w14:paraId="5496E443" w14:textId="77777777" w:rsidR="003F5B21" w:rsidRDefault="003F5B21" w:rsidP="003F5B21">
      <w:r w:rsidRPr="003F5B21">
        <w:t>1: De dødeliges liv i denne verden er uforklarligt og ukendt, det er vanskeligt og kort og forbundet med lidelse.</w:t>
      </w:r>
    </w:p>
    <w:p w14:paraId="3BBFAE10" w14:textId="77777777" w:rsidR="003F5B21" w:rsidRPr="003F5B21" w:rsidRDefault="003F5B21" w:rsidP="002F0A7F">
      <w:r w:rsidRPr="003F5B21">
        <w:t xml:space="preserve">2: Der findes ikke noget middel, der gør, at de ikke dør, når de er kommet til verden. Når man er blevet gammel, er døden vis, for sådan er de levende væsners natur. </w:t>
      </w:r>
    </w:p>
    <w:p w14:paraId="43857FD8" w14:textId="77777777" w:rsidR="003F5B21" w:rsidRPr="003F5B21" w:rsidRDefault="003F5B21" w:rsidP="003F5B21">
      <w:r w:rsidRPr="003F5B21">
        <w:t xml:space="preserve">3: Ligesom moden frugt bestandig er i fare for at falde, således er de dødelige skabninger bestandig i fare for at dø. </w:t>
      </w:r>
    </w:p>
    <w:p w14:paraId="738647C0" w14:textId="77777777" w:rsidR="003F5B21" w:rsidRPr="003F5B21" w:rsidRDefault="003F5B21" w:rsidP="003F5B21">
      <w:r w:rsidRPr="003F5B21">
        <w:t xml:space="preserve">4: Ligesom de lerkar, en pottemager laver, alle ender med at gå i stykker, således også de dødeliges liv. </w:t>
      </w:r>
    </w:p>
    <w:p w14:paraId="017B7921" w14:textId="77777777" w:rsidR="003F5B21" w:rsidRPr="003F5B21" w:rsidRDefault="003F5B21" w:rsidP="003F5B21">
      <w:r w:rsidRPr="003F5B21">
        <w:t xml:space="preserve">5: Ung og gammel, tåbe og vis, alle er i dødens magt. De ender alle med at dø. </w:t>
      </w:r>
    </w:p>
    <w:p w14:paraId="78E29B83" w14:textId="77777777" w:rsidR="003F5B21" w:rsidRPr="003F5B21" w:rsidRDefault="003F5B21" w:rsidP="003F5B21">
      <w:r w:rsidRPr="003F5B21">
        <w:lastRenderedPageBreak/>
        <w:t>6:</w:t>
      </w:r>
      <w:r w:rsidR="00494D3C">
        <w:t xml:space="preserve"> </w:t>
      </w:r>
      <w:r w:rsidRPr="003F5B21">
        <w:t xml:space="preserve">Når de overmandet af døden drager fra denne verden til den hinsidige, beskytter en far ikke sin søn, ej heller slægtninge deres slægtninge. </w:t>
      </w:r>
    </w:p>
    <w:p w14:paraId="2874D718" w14:textId="77777777" w:rsidR="003F5B21" w:rsidRPr="003F5B21" w:rsidRDefault="003F5B21" w:rsidP="003F5B21">
      <w:r w:rsidRPr="003F5B21">
        <w:t xml:space="preserve">7: Se selv! Mens deres slægtninge jamrende ser på, føres hver enkelt af de dødelige </w:t>
      </w:r>
      <w:proofErr w:type="gramStart"/>
      <w:r w:rsidRPr="003F5B21">
        <w:t>bort</w:t>
      </w:r>
      <w:proofErr w:type="gramEnd"/>
      <w:r w:rsidRPr="003F5B21">
        <w:t>, som en ko, der skal slagtes.</w:t>
      </w:r>
    </w:p>
    <w:p w14:paraId="256C8551" w14:textId="77777777" w:rsidR="003F5B21" w:rsidRPr="003F5B21" w:rsidRDefault="003F5B21" w:rsidP="003F5B21">
      <w:r w:rsidRPr="003F5B21">
        <w:t xml:space="preserve">8: Således er verden: hjemsøgt af aldring og død. Derfor sørger de vise ikke, for de kender verdens gang. </w:t>
      </w:r>
    </w:p>
    <w:p w14:paraId="4F4346D9" w14:textId="77777777" w:rsidR="003F5B21" w:rsidRPr="003F5B21" w:rsidRDefault="003F5B21" w:rsidP="00245E7D">
      <w:r w:rsidRPr="003F5B21">
        <w:t>9: Den, hvis vej du ikke kender, hvad enten han er ankommet eller gået bort, ham begræder du nyttesløst, når du ikke kan få øje</w:t>
      </w:r>
      <w:r w:rsidR="00245E7D">
        <w:t xml:space="preserve"> på (vejens) to endepunkter (Begyndelse og slutning).</w:t>
      </w:r>
    </w:p>
    <w:p w14:paraId="6301C52D" w14:textId="77777777" w:rsidR="003F5B21" w:rsidRPr="003F5B21" w:rsidRDefault="003F5B21" w:rsidP="003F5B21">
      <w:r w:rsidRPr="003F5B21">
        <w:t xml:space="preserve">10: Hvis en tåbe kunne fremme noget som helst, ved at sørge og skade sig selv, ville også en forstandig gøre det. </w:t>
      </w:r>
    </w:p>
    <w:p w14:paraId="55F64116" w14:textId="77777777" w:rsidR="003F5B21" w:rsidRPr="003F5B21" w:rsidRDefault="003F5B21" w:rsidP="003F5B21">
      <w:r w:rsidRPr="003F5B21">
        <w:t xml:space="preserve">11: For han opnår ikke fred i sindet ved gråd og sorg: Han udsætter sig for endnu større lidelse, og hans krop bliver skadet. </w:t>
      </w:r>
    </w:p>
    <w:p w14:paraId="632BDEDA" w14:textId="77777777" w:rsidR="003F5B21" w:rsidRPr="003F5B21" w:rsidRDefault="003F5B21" w:rsidP="003F5B21">
      <w:r w:rsidRPr="003F5B21">
        <w:t>12: Han bliver mager og gusten, fordi han skader sig selv. Derved beskytter man ikke de afdøde. Klage er nyttesløs!</w:t>
      </w:r>
    </w:p>
    <w:p w14:paraId="251146AF" w14:textId="77777777" w:rsidR="003F5B21" w:rsidRPr="003F5B21" w:rsidRDefault="003F5B21" w:rsidP="003F5B21">
      <w:r w:rsidRPr="003F5B21">
        <w:t xml:space="preserve">13: Et menneske kommer til at lide endnu mere ved ikke at lade sin sorg bag sig. Fordi det begræder den, der er død, kommer det i sorgens magt. </w:t>
      </w:r>
    </w:p>
    <w:p w14:paraId="22D17A39" w14:textId="77777777" w:rsidR="003F5B21" w:rsidRPr="003F5B21" w:rsidRDefault="003F5B21" w:rsidP="003F5B21">
      <w:r w:rsidRPr="003F5B21">
        <w:t>14: Betragt engang andre mennesker, der er ved at gå bort i overensste</w:t>
      </w:r>
      <w:r w:rsidR="00AF7199">
        <w:t>mmelse med deres handlinger (kar</w:t>
      </w:r>
      <w:r w:rsidRPr="003F5B21">
        <w:t xml:space="preserve">ma): Når de er kommet i dødens magt her i verden, skælver de levende væsner. </w:t>
      </w:r>
    </w:p>
    <w:p w14:paraId="594A9D98" w14:textId="77777777" w:rsidR="003F5B21" w:rsidRPr="003F5B21" w:rsidRDefault="003F5B21" w:rsidP="00724B25">
      <w:r w:rsidRPr="003F5B21">
        <w:t>15:</w:t>
      </w:r>
      <w:r w:rsidR="00E37CAD">
        <w:t xml:space="preserve"> </w:t>
      </w:r>
      <w:r w:rsidRPr="003F5B21">
        <w:t xml:space="preserve">Hvordan man end forestiller sig den </w:t>
      </w:r>
      <w:r w:rsidR="00724B25">
        <w:t>(d</w:t>
      </w:r>
      <w:r w:rsidR="00724B25" w:rsidRPr="00724B25">
        <w:t>vs. døden</w:t>
      </w:r>
      <w:r w:rsidR="00724B25">
        <w:t>)</w:t>
      </w:r>
      <w:r w:rsidRPr="003F5B21">
        <w:t xml:space="preserve">, så finder den sted på anden måde end den, (man forestiller sig): Sådan er adskillelsen. Se blot på verdens gang: </w:t>
      </w:r>
    </w:p>
    <w:p w14:paraId="1E8CB599" w14:textId="77777777" w:rsidR="003F5B21" w:rsidRPr="003F5B21" w:rsidRDefault="003F5B21" w:rsidP="003F5B21">
      <w:r w:rsidRPr="003F5B21">
        <w:t>16:</w:t>
      </w:r>
      <w:r w:rsidR="00E37CAD">
        <w:t xml:space="preserve"> </w:t>
      </w:r>
      <w:r w:rsidRPr="003F5B21">
        <w:t>Om et menneske så levede hundrede år eller mere, bliver det skilt fra gruppen af slægtninge. Det opgiver sit liv her i verden.</w:t>
      </w:r>
    </w:p>
    <w:p w14:paraId="171F7F35" w14:textId="77777777" w:rsidR="003F5B21" w:rsidRPr="003F5B21" w:rsidRDefault="003F5B21" w:rsidP="003F5B21">
      <w:r w:rsidRPr="003F5B21">
        <w:t>17: Derfor skal det betvinge sin sorg ved at lytte til en ærværdig (arhat</w:t>
      </w:r>
      <w:r w:rsidR="00494D3C">
        <w:t xml:space="preserve"> - se note 1</w:t>
      </w:r>
      <w:r w:rsidRPr="003F5B21">
        <w:t xml:space="preserve">) og tænke, når det har set en død: ”Ham kan jeg ikke gøre noget for!” </w:t>
      </w:r>
    </w:p>
    <w:p w14:paraId="2E5FD8D1" w14:textId="77777777" w:rsidR="003F5B21" w:rsidRPr="003F5B21" w:rsidRDefault="003F5B21" w:rsidP="003F5B21">
      <w:r w:rsidRPr="003F5B21">
        <w:t>18:</w:t>
      </w:r>
      <w:r w:rsidR="00E37CAD">
        <w:t xml:space="preserve"> </w:t>
      </w:r>
      <w:r w:rsidRPr="003F5B21">
        <w:t xml:space="preserve">Ligesom man slukker et brændende hus med vand, på samme måde slukker en vis, indsigtsfuld, lærd og dygtig mand i hast sorgen, når den er opstået, ligesom vinden blæser en tot bomuld bort. </w:t>
      </w:r>
    </w:p>
    <w:p w14:paraId="2E0D851F" w14:textId="77777777" w:rsidR="003F5B21" w:rsidRPr="003F5B21" w:rsidRDefault="003F5B21" w:rsidP="003F5B21">
      <w:r w:rsidRPr="003F5B21">
        <w:t xml:space="preserve">19: Hvad angår hans egen sorg, jammer og fortvivlelse: Han skal, når han stræber efter sin egen lykke, trække sin egen pil ud. </w:t>
      </w:r>
    </w:p>
    <w:p w14:paraId="57B8BCC5" w14:textId="77777777" w:rsidR="003F5B21" w:rsidRPr="003F5B21" w:rsidRDefault="003F5B21" w:rsidP="003F5B21">
      <w:r w:rsidRPr="003F5B21">
        <w:t>20: Med pilen trukket ud og uden at være knyttet til noget, har han opnået fred i sit sind, og hinsides al sorg bliver han fri for sorg og udslukt.</w:t>
      </w:r>
    </w:p>
    <w:p w14:paraId="652EA87B" w14:textId="77777777" w:rsidR="003F5B21" w:rsidRPr="003F5B21" w:rsidRDefault="003F5B21" w:rsidP="003F5B21">
      <w:r w:rsidRPr="003F5B21">
        <w:t xml:space="preserve">"Sorgpilen" stammer fra </w:t>
      </w:r>
      <w:proofErr w:type="spellStart"/>
      <w:r w:rsidRPr="003F5B21">
        <w:t>Sutta-Nipata</w:t>
      </w:r>
      <w:proofErr w:type="spellEnd"/>
      <w:r w:rsidRPr="003F5B21">
        <w:t xml:space="preserve">, der tilhører </w:t>
      </w:r>
      <w:proofErr w:type="spellStart"/>
      <w:r w:rsidRPr="003F5B21">
        <w:t>Tripitaka</w:t>
      </w:r>
      <w:proofErr w:type="spellEnd"/>
      <w:r w:rsidRPr="003F5B21">
        <w:t xml:space="preserve">, den buddhistiske kanon. </w:t>
      </w:r>
    </w:p>
    <w:p w14:paraId="4A026B7F" w14:textId="77777777" w:rsidR="003F5B21" w:rsidRPr="003F5B21" w:rsidRDefault="00EE7812" w:rsidP="003F5B21">
      <w:r>
        <w:t xml:space="preserve">Teksten er taget fra: </w:t>
      </w:r>
      <w:hyperlink r:id="rId7" w:anchor="c3727" w:history="1">
        <w:r w:rsidR="007734FA" w:rsidRPr="00F21463">
          <w:rPr>
            <w:rStyle w:val="Hyperlink"/>
          </w:rPr>
          <w:t>https://religion.systime.dk/index.php?id=574#c3727</w:t>
        </w:r>
      </w:hyperlink>
      <w:r w:rsidR="007734FA">
        <w:t xml:space="preserve"> (religionsportalen)</w:t>
      </w:r>
    </w:p>
    <w:p w14:paraId="59E2C7CB" w14:textId="77777777" w:rsidR="00EE7812" w:rsidRPr="00EE7812" w:rsidRDefault="00494D3C" w:rsidP="00EE7812">
      <w:r w:rsidRPr="00EE7812">
        <w:rPr>
          <w:b/>
        </w:rPr>
        <w:lastRenderedPageBreak/>
        <w:t>Note 1:</w:t>
      </w:r>
      <w:r>
        <w:t xml:space="preserve"> </w:t>
      </w:r>
      <w:r w:rsidR="00EE7812" w:rsidRPr="00EE7812">
        <w:t>Sanskrit "den ærværdige". (På kinesisk "</w:t>
      </w:r>
      <w:proofErr w:type="spellStart"/>
      <w:r w:rsidR="00EE7812" w:rsidRPr="00EE7812">
        <w:t>lohan</w:t>
      </w:r>
      <w:proofErr w:type="spellEnd"/>
      <w:r w:rsidR="00EE7812" w:rsidRPr="00EE7812">
        <w:t>", på japansk "</w:t>
      </w:r>
      <w:proofErr w:type="spellStart"/>
      <w:r w:rsidR="00EE7812" w:rsidRPr="00EE7812">
        <w:t>arokan</w:t>
      </w:r>
      <w:proofErr w:type="spellEnd"/>
      <w:r w:rsidR="00EE7812" w:rsidRPr="00EE7812">
        <w:t>"). En person der har opnået den fulde erkendelse og vil indgå i nirvana. Ifølge theravadabuddhisme er han nået til afslutningen på forløsningens vej, dvs. Den Otteleddede Vej, som den er angivet af den historiske Buddha.</w:t>
      </w:r>
    </w:p>
    <w:p w14:paraId="6C179CB9" w14:textId="77777777" w:rsidR="00EE7812" w:rsidRPr="00EE7812" w:rsidRDefault="00EE7812" w:rsidP="00EE7812">
      <w:r w:rsidRPr="00EE7812">
        <w:t xml:space="preserve">Inden for </w:t>
      </w:r>
      <w:proofErr w:type="spellStart"/>
      <w:r w:rsidRPr="00EE7812">
        <w:t>theravada</w:t>
      </w:r>
      <w:proofErr w:type="spellEnd"/>
      <w:r w:rsidRPr="00EE7812">
        <w:t xml:space="preserve"> munkeordenen ser man også en arhat som en person, der har nået det fjerde og sidste erkendelsestrin. Det betyder, at han kun har positive kvaliteter, at han kender sine tidligere genfødsler og ligeså kan fortælle andre om deres. Hans virke foregår dog primært inden for klostervæggenes mure.</w:t>
      </w:r>
    </w:p>
    <w:p w14:paraId="60E44736" w14:textId="77777777" w:rsidR="00EE7812" w:rsidRPr="00EE7812" w:rsidRDefault="00EE7812" w:rsidP="00EE7812">
      <w:r w:rsidRPr="00EE7812">
        <w:t xml:space="preserve">Som modstykke til en arhat bruger mahayanabuddhisme begrebet en </w:t>
      </w:r>
      <w:proofErr w:type="spellStart"/>
      <w:r w:rsidRPr="00EE7812">
        <w:t>bodhisattva</w:t>
      </w:r>
      <w:proofErr w:type="spellEnd"/>
      <w:r w:rsidRPr="00EE7812">
        <w:t>, der har opnået samme erkendelse som en arhat, men som afstår fra at indgå i nirvana for i stedet at hjælpe sine medmennesker til at opnå den samme erkendelse.</w:t>
      </w:r>
    </w:p>
    <w:p w14:paraId="308CD2F0" w14:textId="77777777" w:rsidR="003F5B21" w:rsidRDefault="00EE7812" w:rsidP="003F5B21">
      <w:r>
        <w:t xml:space="preserve">(taget fra: </w:t>
      </w:r>
      <w:hyperlink r:id="rId8" w:history="1">
        <w:r w:rsidRPr="00F21463">
          <w:rPr>
            <w:rStyle w:val="Hyperlink"/>
          </w:rPr>
          <w:t>https://www.religion.dk/leksikon/arhat</w:t>
        </w:r>
      </w:hyperlink>
      <w:r>
        <w:t>)</w:t>
      </w:r>
    </w:p>
    <w:p w14:paraId="2584FF61" w14:textId="77777777" w:rsidR="00EE7812" w:rsidRPr="003F5B21" w:rsidRDefault="00EE7812" w:rsidP="003F5B21"/>
    <w:p w14:paraId="7A45FCEF" w14:textId="77777777" w:rsidR="00921814" w:rsidRDefault="00921814"/>
    <w:sectPr w:rsidR="00921814">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8B08" w14:textId="77777777" w:rsidR="008F4619" w:rsidRDefault="008F4619" w:rsidP="00BE36C0">
      <w:pPr>
        <w:spacing w:after="0" w:line="240" w:lineRule="auto"/>
      </w:pPr>
      <w:r>
        <w:separator/>
      </w:r>
    </w:p>
  </w:endnote>
  <w:endnote w:type="continuationSeparator" w:id="0">
    <w:p w14:paraId="4953D0F7" w14:textId="77777777" w:rsidR="008F4619" w:rsidRDefault="008F4619" w:rsidP="00BE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0720"/>
      <w:docPartObj>
        <w:docPartGallery w:val="Page Numbers (Bottom of Page)"/>
        <w:docPartUnique/>
      </w:docPartObj>
    </w:sdtPr>
    <w:sdtContent>
      <w:p w14:paraId="70C7DC94" w14:textId="77777777" w:rsidR="00BE36C0" w:rsidRDefault="00BE36C0">
        <w:pPr>
          <w:pStyle w:val="Sidefod"/>
          <w:jc w:val="right"/>
        </w:pPr>
        <w:r>
          <w:fldChar w:fldCharType="begin"/>
        </w:r>
        <w:r>
          <w:instrText>PAGE   \* MERGEFORMAT</w:instrText>
        </w:r>
        <w:r>
          <w:fldChar w:fldCharType="separate"/>
        </w:r>
        <w:r w:rsidR="007734FA">
          <w:rPr>
            <w:noProof/>
          </w:rPr>
          <w:t>3</w:t>
        </w:r>
        <w:r>
          <w:fldChar w:fldCharType="end"/>
        </w:r>
      </w:p>
    </w:sdtContent>
  </w:sdt>
  <w:p w14:paraId="3E65FF4B" w14:textId="77777777" w:rsidR="00BE36C0" w:rsidRDefault="00BE36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987E" w14:textId="77777777" w:rsidR="008F4619" w:rsidRDefault="008F4619" w:rsidP="00BE36C0">
      <w:pPr>
        <w:spacing w:after="0" w:line="240" w:lineRule="auto"/>
      </w:pPr>
      <w:r>
        <w:separator/>
      </w:r>
    </w:p>
  </w:footnote>
  <w:footnote w:type="continuationSeparator" w:id="0">
    <w:p w14:paraId="0605C944" w14:textId="77777777" w:rsidR="008F4619" w:rsidRDefault="008F4619" w:rsidP="00BE3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081D"/>
    <w:multiLevelType w:val="multilevel"/>
    <w:tmpl w:val="CDA0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73176"/>
    <w:multiLevelType w:val="multilevel"/>
    <w:tmpl w:val="529A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74940"/>
    <w:multiLevelType w:val="hybridMultilevel"/>
    <w:tmpl w:val="AD7E4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1D7174"/>
    <w:multiLevelType w:val="multilevel"/>
    <w:tmpl w:val="8ECA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62B24"/>
    <w:multiLevelType w:val="multilevel"/>
    <w:tmpl w:val="9B10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714D03"/>
    <w:multiLevelType w:val="hybridMultilevel"/>
    <w:tmpl w:val="B282A1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3738474">
    <w:abstractNumId w:val="4"/>
  </w:num>
  <w:num w:numId="2" w16cid:durableId="1231767087">
    <w:abstractNumId w:val="1"/>
  </w:num>
  <w:num w:numId="3" w16cid:durableId="1551302721">
    <w:abstractNumId w:val="3"/>
  </w:num>
  <w:num w:numId="4" w16cid:durableId="806556653">
    <w:abstractNumId w:val="0"/>
  </w:num>
  <w:num w:numId="5" w16cid:durableId="60296914">
    <w:abstractNumId w:val="5"/>
  </w:num>
  <w:num w:numId="6" w16cid:durableId="1634284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B21"/>
    <w:rsid w:val="00063A86"/>
    <w:rsid w:val="000F1397"/>
    <w:rsid w:val="00143FBE"/>
    <w:rsid w:val="001C12B7"/>
    <w:rsid w:val="001C4276"/>
    <w:rsid w:val="001F1557"/>
    <w:rsid w:val="001F40A3"/>
    <w:rsid w:val="002229B7"/>
    <w:rsid w:val="00245E7D"/>
    <w:rsid w:val="002E23A3"/>
    <w:rsid w:val="002F0A7F"/>
    <w:rsid w:val="003160AC"/>
    <w:rsid w:val="0037245A"/>
    <w:rsid w:val="003C0FDD"/>
    <w:rsid w:val="003C30D2"/>
    <w:rsid w:val="003C3108"/>
    <w:rsid w:val="003F5B21"/>
    <w:rsid w:val="004148EC"/>
    <w:rsid w:val="00494D3C"/>
    <w:rsid w:val="005102AF"/>
    <w:rsid w:val="00531C9D"/>
    <w:rsid w:val="0053543B"/>
    <w:rsid w:val="005D2BB9"/>
    <w:rsid w:val="0062354D"/>
    <w:rsid w:val="00695760"/>
    <w:rsid w:val="006B3710"/>
    <w:rsid w:val="00724B25"/>
    <w:rsid w:val="007734FA"/>
    <w:rsid w:val="007E353B"/>
    <w:rsid w:val="00846F39"/>
    <w:rsid w:val="008476E1"/>
    <w:rsid w:val="008B24E5"/>
    <w:rsid w:val="008F4619"/>
    <w:rsid w:val="00907BBF"/>
    <w:rsid w:val="00912B07"/>
    <w:rsid w:val="00921814"/>
    <w:rsid w:val="00A7319B"/>
    <w:rsid w:val="00AD40F6"/>
    <w:rsid w:val="00AF7199"/>
    <w:rsid w:val="00B22E79"/>
    <w:rsid w:val="00B71A9E"/>
    <w:rsid w:val="00BC26D4"/>
    <w:rsid w:val="00BE36C0"/>
    <w:rsid w:val="00BF594A"/>
    <w:rsid w:val="00C36349"/>
    <w:rsid w:val="00E2513B"/>
    <w:rsid w:val="00E37CAD"/>
    <w:rsid w:val="00E478A0"/>
    <w:rsid w:val="00EE7812"/>
    <w:rsid w:val="00EF764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A2F8"/>
  <w15:docId w15:val="{FCB6F6A4-6730-4D14-8244-889E6848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476E1"/>
    <w:rPr>
      <w:color w:val="0000FF" w:themeColor="hyperlink"/>
      <w:u w:val="single"/>
    </w:rPr>
  </w:style>
  <w:style w:type="paragraph" w:styleId="Sidehoved">
    <w:name w:val="header"/>
    <w:basedOn w:val="Normal"/>
    <w:link w:val="SidehovedTegn"/>
    <w:uiPriority w:val="99"/>
    <w:unhideWhenUsed/>
    <w:rsid w:val="00BE36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36C0"/>
  </w:style>
  <w:style w:type="paragraph" w:styleId="Sidefod">
    <w:name w:val="footer"/>
    <w:basedOn w:val="Normal"/>
    <w:link w:val="SidefodTegn"/>
    <w:uiPriority w:val="99"/>
    <w:unhideWhenUsed/>
    <w:rsid w:val="00BE36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36C0"/>
  </w:style>
  <w:style w:type="paragraph" w:styleId="NormalWeb">
    <w:name w:val="Normal (Web)"/>
    <w:basedOn w:val="Normal"/>
    <w:uiPriority w:val="99"/>
    <w:semiHidden/>
    <w:unhideWhenUsed/>
    <w:rsid w:val="00EE7812"/>
    <w:rPr>
      <w:rFonts w:ascii="Times New Roman" w:hAnsi="Times New Roman" w:cs="Times New Roman"/>
      <w:sz w:val="24"/>
      <w:szCs w:val="24"/>
    </w:rPr>
  </w:style>
  <w:style w:type="character" w:styleId="BesgtLink">
    <w:name w:val="FollowedHyperlink"/>
    <w:basedOn w:val="Standardskrifttypeiafsnit"/>
    <w:uiPriority w:val="99"/>
    <w:semiHidden/>
    <w:unhideWhenUsed/>
    <w:rsid w:val="001C12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3448">
      <w:bodyDiv w:val="1"/>
      <w:marLeft w:val="0"/>
      <w:marRight w:val="0"/>
      <w:marTop w:val="0"/>
      <w:marBottom w:val="0"/>
      <w:divBdr>
        <w:top w:val="none" w:sz="0" w:space="0" w:color="auto"/>
        <w:left w:val="none" w:sz="0" w:space="0" w:color="auto"/>
        <w:bottom w:val="none" w:sz="0" w:space="0" w:color="auto"/>
        <w:right w:val="none" w:sz="0" w:space="0" w:color="auto"/>
      </w:divBdr>
    </w:div>
    <w:div w:id="408119774">
      <w:bodyDiv w:val="1"/>
      <w:marLeft w:val="0"/>
      <w:marRight w:val="0"/>
      <w:marTop w:val="0"/>
      <w:marBottom w:val="0"/>
      <w:divBdr>
        <w:top w:val="none" w:sz="0" w:space="0" w:color="auto"/>
        <w:left w:val="none" w:sz="0" w:space="0" w:color="auto"/>
        <w:bottom w:val="none" w:sz="0" w:space="0" w:color="auto"/>
        <w:right w:val="none" w:sz="0" w:space="0" w:color="auto"/>
      </w:divBdr>
    </w:div>
    <w:div w:id="21155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k/leksikon/arhat" TargetMode="External"/><Relationship Id="rId3" Type="http://schemas.openxmlformats.org/officeDocument/2006/relationships/settings" Target="settings.xml"/><Relationship Id="rId7" Type="http://schemas.openxmlformats.org/officeDocument/2006/relationships/hyperlink" Target="https://religion.systime.dk/index.php?id=5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742</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Toftgaard Jakobsen</dc:creator>
  <cp:lastModifiedBy>Keld Toftgaard Jakobsen</cp:lastModifiedBy>
  <cp:revision>38</cp:revision>
  <dcterms:created xsi:type="dcterms:W3CDTF">2014-01-10T12:53:00Z</dcterms:created>
  <dcterms:modified xsi:type="dcterms:W3CDTF">2024-10-31T14:46:00Z</dcterms:modified>
</cp:coreProperties>
</file>