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288" w:rsidRPr="003A7288" w:rsidRDefault="003A7288" w:rsidP="003A7288">
      <w:pPr>
        <w:rPr>
          <w:sz w:val="16"/>
          <w:szCs w:val="16"/>
        </w:rPr>
      </w:pPr>
      <w:proofErr w:type="spellStart"/>
      <w:r w:rsidRPr="003A7288">
        <w:rPr>
          <w:b/>
          <w:bCs/>
          <w:sz w:val="16"/>
          <w:szCs w:val="16"/>
        </w:rPr>
        <w:t>Ninian</w:t>
      </w:r>
      <w:proofErr w:type="spellEnd"/>
      <w:r w:rsidRPr="003A7288">
        <w:rPr>
          <w:b/>
          <w:bCs/>
          <w:sz w:val="16"/>
          <w:szCs w:val="16"/>
        </w:rPr>
        <w:t xml:space="preserve"> </w:t>
      </w:r>
      <w:proofErr w:type="spellStart"/>
      <w:r w:rsidRPr="003A7288">
        <w:rPr>
          <w:b/>
          <w:bCs/>
          <w:sz w:val="16"/>
          <w:szCs w:val="16"/>
        </w:rPr>
        <w:t>Smarts</w:t>
      </w:r>
      <w:proofErr w:type="spellEnd"/>
      <w:r w:rsidRPr="003A7288">
        <w:rPr>
          <w:b/>
          <w:bCs/>
          <w:sz w:val="16"/>
          <w:szCs w:val="16"/>
        </w:rPr>
        <w:t xml:space="preserve"> 7 dimensioner:</w:t>
      </w:r>
      <w:r w:rsidRPr="003A7288">
        <w:rPr>
          <w:sz w:val="16"/>
          <w:szCs w:val="16"/>
        </w:rPr>
        <w:br/>
      </w:r>
      <w:r w:rsidRPr="003A7288">
        <w:rPr>
          <w:sz w:val="16"/>
          <w:szCs w:val="16"/>
        </w:rPr>
        <w:br/>
        <w:t xml:space="preserve">Ninia Smart blev født i 1927 og dødede i 2001. Han var religionsforsker. For alle religioner fandt han nogle fællestræk. Disse fællestræk opstillede han senere som en forudsætning for at en religion virkelig kunne betegnes som en religion (til forskel fra f.eks. politiske eller kulturelle bevægelser og foreninger). Nedenfor er derfor </w:t>
      </w:r>
      <w:proofErr w:type="spellStart"/>
      <w:r w:rsidRPr="003A7288">
        <w:rPr>
          <w:sz w:val="16"/>
          <w:szCs w:val="16"/>
        </w:rPr>
        <w:t>Ninian</w:t>
      </w:r>
      <w:proofErr w:type="spellEnd"/>
      <w:r w:rsidRPr="003A7288">
        <w:rPr>
          <w:sz w:val="16"/>
          <w:szCs w:val="16"/>
        </w:rPr>
        <w:t xml:space="preserve"> </w:t>
      </w:r>
      <w:proofErr w:type="spellStart"/>
      <w:r w:rsidRPr="003A7288">
        <w:rPr>
          <w:sz w:val="16"/>
          <w:szCs w:val="16"/>
        </w:rPr>
        <w:t>Smart’s</w:t>
      </w:r>
      <w:proofErr w:type="spellEnd"/>
      <w:r w:rsidRPr="003A7288">
        <w:rPr>
          <w:sz w:val="16"/>
          <w:szCs w:val="16"/>
        </w:rPr>
        <w:t xml:space="preserve"> religionsmodel: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70"/>
        <w:gridCol w:w="5066"/>
        <w:gridCol w:w="5950"/>
      </w:tblGrid>
      <w:tr w:rsidR="003A7288" w:rsidRPr="003A7288" w:rsidTr="00023E44">
        <w:trPr>
          <w:tblCellSpacing w:w="15" w:type="dxa"/>
        </w:trPr>
        <w:tc>
          <w:tcPr>
            <w:tcW w:w="0" w:type="auto"/>
            <w:vAlign w:val="center"/>
            <w:hideMark/>
          </w:tcPr>
          <w:p w:rsidR="003A7288" w:rsidRPr="003A7288" w:rsidRDefault="003A7288" w:rsidP="00023E44">
            <w:pPr>
              <w:rPr>
                <w:sz w:val="16"/>
                <w:szCs w:val="16"/>
              </w:rPr>
            </w:pPr>
            <w:r w:rsidRPr="003A7288">
              <w:rPr>
                <w:b/>
                <w:bCs/>
                <w:sz w:val="16"/>
                <w:szCs w:val="16"/>
              </w:rPr>
              <w:t>Betegnelse</w:t>
            </w:r>
          </w:p>
        </w:tc>
        <w:tc>
          <w:tcPr>
            <w:tcW w:w="0" w:type="auto"/>
            <w:vAlign w:val="center"/>
            <w:hideMark/>
          </w:tcPr>
          <w:p w:rsidR="003A7288" w:rsidRPr="003A7288" w:rsidRDefault="003A7288" w:rsidP="00023E44">
            <w:pPr>
              <w:rPr>
                <w:sz w:val="16"/>
                <w:szCs w:val="16"/>
              </w:rPr>
            </w:pPr>
            <w:r w:rsidRPr="003A7288">
              <w:rPr>
                <w:b/>
                <w:bCs/>
                <w:sz w:val="16"/>
                <w:szCs w:val="16"/>
              </w:rPr>
              <w:t>Forklaring</w:t>
            </w:r>
          </w:p>
        </w:tc>
        <w:tc>
          <w:tcPr>
            <w:tcW w:w="0" w:type="auto"/>
            <w:vAlign w:val="center"/>
            <w:hideMark/>
          </w:tcPr>
          <w:p w:rsidR="003A7288" w:rsidRPr="003A7288" w:rsidRDefault="003A7288" w:rsidP="00023E44">
            <w:pPr>
              <w:rPr>
                <w:sz w:val="16"/>
                <w:szCs w:val="16"/>
              </w:rPr>
            </w:pPr>
            <w:r w:rsidRPr="003A7288">
              <w:rPr>
                <w:b/>
                <w:bCs/>
                <w:sz w:val="16"/>
                <w:szCs w:val="16"/>
              </w:rPr>
              <w:t>Eksempler</w:t>
            </w:r>
          </w:p>
        </w:tc>
      </w:tr>
      <w:tr w:rsidR="003A7288" w:rsidRPr="003A7288" w:rsidTr="00023E44">
        <w:trPr>
          <w:tblCellSpacing w:w="15" w:type="dxa"/>
        </w:trPr>
        <w:tc>
          <w:tcPr>
            <w:tcW w:w="0" w:type="auto"/>
            <w:vAlign w:val="center"/>
            <w:hideMark/>
          </w:tcPr>
          <w:p w:rsidR="003A7288" w:rsidRPr="003A7288" w:rsidRDefault="003A7288" w:rsidP="00023E44">
            <w:pPr>
              <w:rPr>
                <w:b/>
                <w:bCs/>
                <w:sz w:val="16"/>
                <w:szCs w:val="16"/>
              </w:rPr>
            </w:pPr>
            <w:r w:rsidRPr="003A7288">
              <w:rPr>
                <w:b/>
                <w:bCs/>
                <w:sz w:val="16"/>
                <w:szCs w:val="16"/>
              </w:rPr>
              <w:t>1. Den praktiske og rituelle dimension</w:t>
            </w:r>
            <w:r w:rsidR="00B90B71">
              <w:rPr>
                <w:b/>
                <w:bCs/>
                <w:sz w:val="16"/>
                <w:szCs w:val="16"/>
              </w:rPr>
              <w:t xml:space="preserve"> (handlingerne)</w:t>
            </w:r>
          </w:p>
        </w:tc>
        <w:tc>
          <w:tcPr>
            <w:tcW w:w="0" w:type="auto"/>
            <w:vAlign w:val="center"/>
            <w:hideMark/>
          </w:tcPr>
          <w:p w:rsidR="003A7288" w:rsidRPr="003A7288" w:rsidRDefault="003A7288" w:rsidP="00023E44">
            <w:pPr>
              <w:rPr>
                <w:color w:val="FF0000"/>
                <w:sz w:val="16"/>
                <w:szCs w:val="16"/>
              </w:rPr>
            </w:pPr>
            <w:r w:rsidRPr="003A7288">
              <w:rPr>
                <w:color w:val="FF0000"/>
                <w:sz w:val="16"/>
                <w:szCs w:val="16"/>
              </w:rPr>
              <w:t>Formelle ritualer og uformelle skikke og religiøse vaner</w:t>
            </w:r>
          </w:p>
        </w:tc>
        <w:tc>
          <w:tcPr>
            <w:tcW w:w="0" w:type="auto"/>
            <w:vAlign w:val="center"/>
            <w:hideMark/>
          </w:tcPr>
          <w:p w:rsidR="003A7288" w:rsidRPr="003A7288" w:rsidRDefault="003A7288" w:rsidP="00023E44">
            <w:pPr>
              <w:rPr>
                <w:color w:val="0070C0"/>
                <w:sz w:val="16"/>
                <w:szCs w:val="16"/>
              </w:rPr>
            </w:pPr>
            <w:r w:rsidRPr="003A7288">
              <w:rPr>
                <w:color w:val="0070C0"/>
                <w:sz w:val="16"/>
                <w:szCs w:val="16"/>
              </w:rPr>
              <w:t>Overgangsriter</w:t>
            </w:r>
            <w:r w:rsidRPr="003A7288">
              <w:rPr>
                <w:color w:val="0070C0"/>
                <w:sz w:val="16"/>
                <w:szCs w:val="16"/>
              </w:rPr>
              <w:br/>
              <w:t xml:space="preserve">Ofringer f.eks. nadver, </w:t>
            </w:r>
            <w:proofErr w:type="spellStart"/>
            <w:r w:rsidRPr="003A7288">
              <w:rPr>
                <w:color w:val="0070C0"/>
                <w:sz w:val="16"/>
                <w:szCs w:val="16"/>
              </w:rPr>
              <w:t>puja</w:t>
            </w:r>
            <w:proofErr w:type="spellEnd"/>
            <w:r w:rsidRPr="003A7288">
              <w:rPr>
                <w:color w:val="0070C0"/>
                <w:sz w:val="16"/>
                <w:szCs w:val="16"/>
              </w:rPr>
              <w:t xml:space="preserve">, </w:t>
            </w:r>
            <w:proofErr w:type="spellStart"/>
            <w:r w:rsidRPr="003A7288">
              <w:rPr>
                <w:color w:val="0070C0"/>
                <w:sz w:val="16"/>
                <w:szCs w:val="16"/>
              </w:rPr>
              <w:t>blót</w:t>
            </w:r>
            <w:proofErr w:type="spellEnd"/>
            <w:r w:rsidRPr="003A7288">
              <w:rPr>
                <w:color w:val="0070C0"/>
                <w:sz w:val="16"/>
                <w:szCs w:val="16"/>
              </w:rPr>
              <w:br/>
              <w:t>Gudstjenesteformer</w:t>
            </w:r>
            <w:r w:rsidRPr="003A7288">
              <w:rPr>
                <w:color w:val="0070C0"/>
                <w:sz w:val="16"/>
                <w:szCs w:val="16"/>
              </w:rPr>
              <w:br/>
              <w:t>Pilgrimsrejser</w:t>
            </w:r>
            <w:r w:rsidRPr="003A7288">
              <w:rPr>
                <w:color w:val="0070C0"/>
                <w:sz w:val="16"/>
                <w:szCs w:val="16"/>
              </w:rPr>
              <w:br/>
              <w:t>Bøn</w:t>
            </w:r>
            <w:r w:rsidRPr="003A7288">
              <w:rPr>
                <w:color w:val="0070C0"/>
                <w:sz w:val="16"/>
                <w:szCs w:val="16"/>
              </w:rPr>
              <w:br/>
              <w:t>Meditation</w:t>
            </w:r>
            <w:r w:rsidRPr="003A7288">
              <w:rPr>
                <w:color w:val="0070C0"/>
                <w:sz w:val="16"/>
                <w:szCs w:val="16"/>
              </w:rPr>
              <w:br/>
              <w:t>Yoga</w:t>
            </w:r>
          </w:p>
        </w:tc>
      </w:tr>
      <w:tr w:rsidR="003A7288" w:rsidRPr="003A7288" w:rsidTr="00023E44">
        <w:trPr>
          <w:tblCellSpacing w:w="15" w:type="dxa"/>
        </w:trPr>
        <w:tc>
          <w:tcPr>
            <w:tcW w:w="0" w:type="auto"/>
            <w:vAlign w:val="center"/>
            <w:hideMark/>
          </w:tcPr>
          <w:p w:rsidR="003A7288" w:rsidRPr="003A7288" w:rsidRDefault="003A7288" w:rsidP="00023E44">
            <w:pPr>
              <w:rPr>
                <w:b/>
                <w:bCs/>
                <w:sz w:val="16"/>
                <w:szCs w:val="16"/>
              </w:rPr>
            </w:pPr>
            <w:r w:rsidRPr="003A7288">
              <w:rPr>
                <w:b/>
                <w:bCs/>
                <w:sz w:val="16"/>
                <w:szCs w:val="16"/>
              </w:rPr>
              <w:t>2. Den oplevelsesmæssige og følelsesmæssige dimension</w:t>
            </w:r>
          </w:p>
        </w:tc>
        <w:tc>
          <w:tcPr>
            <w:tcW w:w="0" w:type="auto"/>
            <w:vAlign w:val="center"/>
            <w:hideMark/>
          </w:tcPr>
          <w:p w:rsidR="003A7288" w:rsidRPr="003A7288" w:rsidRDefault="003A7288" w:rsidP="00023E44">
            <w:pPr>
              <w:rPr>
                <w:color w:val="FF0000"/>
                <w:sz w:val="16"/>
                <w:szCs w:val="16"/>
              </w:rPr>
            </w:pPr>
            <w:r w:rsidRPr="003A7288">
              <w:rPr>
                <w:color w:val="FF0000"/>
                <w:sz w:val="16"/>
                <w:szCs w:val="16"/>
              </w:rPr>
              <w:t>Ordinære og ekstraordinære religiøse oplevelser, psykologisk betragtet</w:t>
            </w:r>
          </w:p>
        </w:tc>
        <w:tc>
          <w:tcPr>
            <w:tcW w:w="0" w:type="auto"/>
            <w:vAlign w:val="center"/>
            <w:hideMark/>
          </w:tcPr>
          <w:p w:rsidR="003A7288" w:rsidRPr="003A7288" w:rsidRDefault="003A7288" w:rsidP="00023E44">
            <w:pPr>
              <w:rPr>
                <w:color w:val="0070C0"/>
                <w:sz w:val="16"/>
                <w:szCs w:val="16"/>
              </w:rPr>
            </w:pPr>
            <w:r w:rsidRPr="003A7288">
              <w:rPr>
                <w:color w:val="0070C0"/>
                <w:sz w:val="16"/>
                <w:szCs w:val="16"/>
              </w:rPr>
              <w:t>Oplevelsen ved at deltage i riter eller høre religiøs musik eller deltage i yoga og meditation</w:t>
            </w:r>
            <w:r w:rsidRPr="003A7288">
              <w:rPr>
                <w:color w:val="0070C0"/>
                <w:sz w:val="16"/>
                <w:szCs w:val="16"/>
              </w:rPr>
              <w:br/>
              <w:t>Mystik</w:t>
            </w:r>
            <w:r w:rsidRPr="003A7288">
              <w:rPr>
                <w:color w:val="0070C0"/>
                <w:sz w:val="16"/>
                <w:szCs w:val="16"/>
              </w:rPr>
              <w:br/>
              <w:t>Ekstase</w:t>
            </w:r>
          </w:p>
        </w:tc>
      </w:tr>
      <w:tr w:rsidR="003A7288" w:rsidRPr="003A7288" w:rsidTr="00023E44">
        <w:trPr>
          <w:tblCellSpacing w:w="15" w:type="dxa"/>
        </w:trPr>
        <w:tc>
          <w:tcPr>
            <w:tcW w:w="0" w:type="auto"/>
            <w:vAlign w:val="center"/>
            <w:hideMark/>
          </w:tcPr>
          <w:p w:rsidR="003A7288" w:rsidRPr="003A7288" w:rsidRDefault="00D83F70" w:rsidP="00023E44">
            <w:pPr>
              <w:rPr>
                <w:b/>
                <w:bCs/>
                <w:sz w:val="16"/>
                <w:szCs w:val="16"/>
              </w:rPr>
            </w:pPr>
            <w:r>
              <w:rPr>
                <w:b/>
                <w:bCs/>
                <w:sz w:val="16"/>
                <w:szCs w:val="16"/>
              </w:rPr>
              <w:t>3. Den narrative eller my</w:t>
            </w:r>
            <w:r w:rsidR="003A7288" w:rsidRPr="003A7288">
              <w:rPr>
                <w:b/>
                <w:bCs/>
                <w:sz w:val="16"/>
                <w:szCs w:val="16"/>
              </w:rPr>
              <w:t>tiske dimension</w:t>
            </w:r>
            <w:r w:rsidR="00B90B71">
              <w:rPr>
                <w:b/>
                <w:bCs/>
                <w:sz w:val="16"/>
                <w:szCs w:val="16"/>
              </w:rPr>
              <w:t xml:space="preserve"> (fortællingerne)</w:t>
            </w:r>
          </w:p>
        </w:tc>
        <w:tc>
          <w:tcPr>
            <w:tcW w:w="0" w:type="auto"/>
            <w:vAlign w:val="center"/>
            <w:hideMark/>
          </w:tcPr>
          <w:p w:rsidR="003A7288" w:rsidRPr="003A7288" w:rsidRDefault="003A7288" w:rsidP="00023E44">
            <w:pPr>
              <w:rPr>
                <w:color w:val="FF0000"/>
                <w:sz w:val="16"/>
                <w:szCs w:val="16"/>
              </w:rPr>
            </w:pPr>
            <w:r w:rsidRPr="003A7288">
              <w:rPr>
                <w:color w:val="FF0000"/>
                <w:sz w:val="16"/>
                <w:szCs w:val="16"/>
              </w:rPr>
              <w:t>Hele fortællersiden af religion:</w:t>
            </w:r>
            <w:r w:rsidRPr="003A7288">
              <w:rPr>
                <w:color w:val="FF0000"/>
                <w:sz w:val="16"/>
                <w:szCs w:val="16"/>
              </w:rPr>
              <w:br/>
              <w:t>Myter, legender, religiøse beretninger osv</w:t>
            </w:r>
            <w:r w:rsidR="00D83F70">
              <w:rPr>
                <w:color w:val="FF0000"/>
                <w:sz w:val="16"/>
                <w:szCs w:val="16"/>
              </w:rPr>
              <w:t>.</w:t>
            </w:r>
          </w:p>
        </w:tc>
        <w:tc>
          <w:tcPr>
            <w:tcW w:w="0" w:type="auto"/>
            <w:vAlign w:val="center"/>
            <w:hideMark/>
          </w:tcPr>
          <w:p w:rsidR="003A7288" w:rsidRPr="003A7288" w:rsidRDefault="003A7288" w:rsidP="00023E44">
            <w:pPr>
              <w:rPr>
                <w:color w:val="0070C0"/>
                <w:sz w:val="16"/>
                <w:szCs w:val="16"/>
              </w:rPr>
            </w:pPr>
            <w:r w:rsidRPr="003A7288">
              <w:rPr>
                <w:color w:val="0070C0"/>
                <w:sz w:val="16"/>
                <w:szCs w:val="16"/>
              </w:rPr>
              <w:t xml:space="preserve">Myter om tingenes (f.eks. verdens, gudernes) </w:t>
            </w:r>
            <w:r w:rsidR="00D83F70" w:rsidRPr="003A7288">
              <w:rPr>
                <w:color w:val="0070C0"/>
                <w:sz w:val="16"/>
                <w:szCs w:val="16"/>
              </w:rPr>
              <w:t>oprindelse</w:t>
            </w:r>
            <w:r w:rsidRPr="003A7288">
              <w:rPr>
                <w:color w:val="0070C0"/>
                <w:sz w:val="16"/>
                <w:szCs w:val="16"/>
              </w:rPr>
              <w:t>.</w:t>
            </w:r>
            <w:r w:rsidRPr="003A7288">
              <w:rPr>
                <w:color w:val="0070C0"/>
                <w:sz w:val="16"/>
                <w:szCs w:val="16"/>
              </w:rPr>
              <w:br/>
              <w:t xml:space="preserve">Beretninger om religionernes hovedpersoner (Jesus, Muhammed, </w:t>
            </w:r>
            <w:r w:rsidR="00D83F70" w:rsidRPr="003A7288">
              <w:rPr>
                <w:color w:val="0070C0"/>
                <w:sz w:val="16"/>
                <w:szCs w:val="16"/>
              </w:rPr>
              <w:t>Buddha</w:t>
            </w:r>
            <w:r w:rsidRPr="003A7288">
              <w:rPr>
                <w:color w:val="0070C0"/>
                <w:sz w:val="16"/>
                <w:szCs w:val="16"/>
              </w:rPr>
              <w:t>)</w:t>
            </w:r>
            <w:r w:rsidRPr="003A7288">
              <w:rPr>
                <w:color w:val="0070C0"/>
                <w:sz w:val="16"/>
                <w:szCs w:val="16"/>
              </w:rPr>
              <w:br/>
              <w:t>Helgenbiografier</w:t>
            </w:r>
            <w:r w:rsidR="00D83F70">
              <w:rPr>
                <w:color w:val="0070C0"/>
                <w:sz w:val="16"/>
                <w:szCs w:val="16"/>
              </w:rPr>
              <w:t xml:space="preserve"> (hagiografi)</w:t>
            </w:r>
          </w:p>
        </w:tc>
      </w:tr>
      <w:tr w:rsidR="003A7288" w:rsidRPr="003A7288" w:rsidTr="00023E44">
        <w:trPr>
          <w:tblCellSpacing w:w="15" w:type="dxa"/>
        </w:trPr>
        <w:tc>
          <w:tcPr>
            <w:tcW w:w="0" w:type="auto"/>
            <w:vAlign w:val="center"/>
            <w:hideMark/>
          </w:tcPr>
          <w:p w:rsidR="003A7288" w:rsidRPr="003A7288" w:rsidRDefault="003A7288" w:rsidP="00023E44">
            <w:pPr>
              <w:rPr>
                <w:b/>
                <w:bCs/>
                <w:sz w:val="16"/>
                <w:szCs w:val="16"/>
              </w:rPr>
            </w:pPr>
            <w:r w:rsidRPr="003A7288">
              <w:rPr>
                <w:b/>
                <w:bCs/>
                <w:sz w:val="16"/>
                <w:szCs w:val="16"/>
              </w:rPr>
              <w:t>4. Den dogmatiske eller filosofiske dimension</w:t>
            </w:r>
            <w:r w:rsidR="00B90B71">
              <w:rPr>
                <w:b/>
                <w:bCs/>
                <w:sz w:val="16"/>
                <w:szCs w:val="16"/>
              </w:rPr>
              <w:t xml:space="preserve"> (læren)</w:t>
            </w:r>
          </w:p>
        </w:tc>
        <w:tc>
          <w:tcPr>
            <w:tcW w:w="0" w:type="auto"/>
            <w:vAlign w:val="center"/>
            <w:hideMark/>
          </w:tcPr>
          <w:p w:rsidR="003A7288" w:rsidRPr="003A7288" w:rsidRDefault="003A7288" w:rsidP="00023E44">
            <w:pPr>
              <w:rPr>
                <w:color w:val="FF0000"/>
                <w:sz w:val="16"/>
                <w:szCs w:val="16"/>
              </w:rPr>
            </w:pPr>
            <w:r w:rsidRPr="003A7288">
              <w:rPr>
                <w:color w:val="FF0000"/>
                <w:sz w:val="16"/>
                <w:szCs w:val="16"/>
              </w:rPr>
              <w:t>Systematisering af troens lære gennem rationel bearbejdelse af dens indhold</w:t>
            </w:r>
          </w:p>
        </w:tc>
        <w:tc>
          <w:tcPr>
            <w:tcW w:w="0" w:type="auto"/>
            <w:vAlign w:val="center"/>
            <w:hideMark/>
          </w:tcPr>
          <w:p w:rsidR="003A7288" w:rsidRPr="003A7288" w:rsidRDefault="003A7288" w:rsidP="00023E44">
            <w:pPr>
              <w:rPr>
                <w:color w:val="0070C0"/>
                <w:sz w:val="16"/>
                <w:szCs w:val="16"/>
              </w:rPr>
            </w:pPr>
            <w:r w:rsidRPr="003A7288">
              <w:rPr>
                <w:color w:val="0070C0"/>
                <w:sz w:val="16"/>
                <w:szCs w:val="16"/>
              </w:rPr>
              <w:t>Teologers og filosoffers kommentarer til de hellige skrifter.</w:t>
            </w:r>
            <w:r w:rsidRPr="003A7288">
              <w:rPr>
                <w:color w:val="0070C0"/>
                <w:sz w:val="16"/>
                <w:szCs w:val="16"/>
              </w:rPr>
              <w:br/>
              <w:t>Trosbekendelser, dogmer</w:t>
            </w:r>
            <w:r w:rsidRPr="003A7288">
              <w:rPr>
                <w:color w:val="0070C0"/>
                <w:sz w:val="16"/>
                <w:szCs w:val="16"/>
              </w:rPr>
              <w:br/>
              <w:t>Akademiske og populære bøger om troslære</w:t>
            </w:r>
            <w:r w:rsidRPr="003A7288">
              <w:rPr>
                <w:color w:val="0070C0"/>
                <w:sz w:val="16"/>
                <w:szCs w:val="16"/>
              </w:rPr>
              <w:br/>
              <w:t xml:space="preserve">Præsters </w:t>
            </w:r>
            <w:r w:rsidR="00D83F70" w:rsidRPr="003A7288">
              <w:rPr>
                <w:color w:val="0070C0"/>
                <w:sz w:val="16"/>
                <w:szCs w:val="16"/>
              </w:rPr>
              <w:t>prædikener</w:t>
            </w:r>
          </w:p>
        </w:tc>
      </w:tr>
      <w:tr w:rsidR="003A7288" w:rsidRPr="003A7288" w:rsidTr="00023E44">
        <w:trPr>
          <w:tblCellSpacing w:w="15" w:type="dxa"/>
        </w:trPr>
        <w:tc>
          <w:tcPr>
            <w:tcW w:w="0" w:type="auto"/>
            <w:vAlign w:val="center"/>
            <w:hideMark/>
          </w:tcPr>
          <w:p w:rsidR="003A7288" w:rsidRPr="003A7288" w:rsidRDefault="003A7288" w:rsidP="00023E44">
            <w:pPr>
              <w:rPr>
                <w:b/>
                <w:bCs/>
                <w:sz w:val="16"/>
                <w:szCs w:val="16"/>
              </w:rPr>
            </w:pPr>
            <w:r w:rsidRPr="003A7288">
              <w:rPr>
                <w:b/>
                <w:bCs/>
                <w:sz w:val="16"/>
                <w:szCs w:val="16"/>
              </w:rPr>
              <w:t>5. Den juridiske og etiske dimension</w:t>
            </w:r>
            <w:r w:rsidR="00B90B71">
              <w:rPr>
                <w:b/>
                <w:bCs/>
                <w:sz w:val="16"/>
                <w:szCs w:val="16"/>
              </w:rPr>
              <w:t xml:space="preserve"> (Normerne)</w:t>
            </w:r>
          </w:p>
        </w:tc>
        <w:tc>
          <w:tcPr>
            <w:tcW w:w="0" w:type="auto"/>
            <w:vAlign w:val="center"/>
            <w:hideMark/>
          </w:tcPr>
          <w:p w:rsidR="003A7288" w:rsidRPr="003A7288" w:rsidRDefault="003A7288" w:rsidP="00023E44">
            <w:pPr>
              <w:rPr>
                <w:color w:val="FF0000"/>
                <w:sz w:val="16"/>
                <w:szCs w:val="16"/>
              </w:rPr>
            </w:pPr>
            <w:r w:rsidRPr="003A7288">
              <w:rPr>
                <w:color w:val="FF0000"/>
                <w:sz w:val="16"/>
                <w:szCs w:val="16"/>
              </w:rPr>
              <w:t xml:space="preserve">Retningslinjer for livsførelse og </w:t>
            </w:r>
            <w:r w:rsidR="00D83F70" w:rsidRPr="003A7288">
              <w:rPr>
                <w:color w:val="FF0000"/>
                <w:sz w:val="16"/>
                <w:szCs w:val="16"/>
              </w:rPr>
              <w:t>evt.</w:t>
            </w:r>
            <w:r w:rsidRPr="003A7288">
              <w:rPr>
                <w:color w:val="FF0000"/>
                <w:sz w:val="16"/>
                <w:szCs w:val="16"/>
              </w:rPr>
              <w:t xml:space="preserve"> for samfundets indretning</w:t>
            </w:r>
          </w:p>
        </w:tc>
        <w:tc>
          <w:tcPr>
            <w:tcW w:w="0" w:type="auto"/>
            <w:vAlign w:val="center"/>
            <w:hideMark/>
          </w:tcPr>
          <w:p w:rsidR="003A7288" w:rsidRPr="003A7288" w:rsidRDefault="003A7288" w:rsidP="00023E44">
            <w:pPr>
              <w:rPr>
                <w:color w:val="0070C0"/>
                <w:sz w:val="16"/>
                <w:szCs w:val="16"/>
              </w:rPr>
            </w:pPr>
            <w:r w:rsidRPr="003A7288">
              <w:rPr>
                <w:color w:val="0070C0"/>
                <w:sz w:val="16"/>
                <w:szCs w:val="16"/>
              </w:rPr>
              <w:t>Etiske regler som f.eks. De 10 B</w:t>
            </w:r>
            <w:r w:rsidR="00D83F70">
              <w:rPr>
                <w:color w:val="0070C0"/>
                <w:sz w:val="16"/>
                <w:szCs w:val="16"/>
              </w:rPr>
              <w:t>ud, Den Gyldne Regel</w:t>
            </w:r>
            <w:r w:rsidRPr="003A7288">
              <w:rPr>
                <w:color w:val="0070C0"/>
                <w:sz w:val="16"/>
                <w:szCs w:val="16"/>
              </w:rPr>
              <w:br/>
              <w:t>Spiseregler</w:t>
            </w:r>
            <w:r w:rsidRPr="003A7288">
              <w:rPr>
                <w:color w:val="0070C0"/>
                <w:sz w:val="16"/>
                <w:szCs w:val="16"/>
              </w:rPr>
              <w:br/>
              <w:t>Ægteskabsregler</w:t>
            </w:r>
            <w:r w:rsidRPr="003A7288">
              <w:rPr>
                <w:color w:val="0070C0"/>
                <w:sz w:val="16"/>
                <w:szCs w:val="16"/>
              </w:rPr>
              <w:br/>
            </w:r>
            <w:proofErr w:type="spellStart"/>
            <w:r w:rsidRPr="003A7288">
              <w:rPr>
                <w:color w:val="0070C0"/>
                <w:sz w:val="16"/>
                <w:szCs w:val="16"/>
              </w:rPr>
              <w:t>Sharia</w:t>
            </w:r>
            <w:proofErr w:type="spellEnd"/>
          </w:p>
        </w:tc>
      </w:tr>
      <w:tr w:rsidR="003A7288" w:rsidRPr="003A7288" w:rsidTr="00023E44">
        <w:trPr>
          <w:tblCellSpacing w:w="15" w:type="dxa"/>
        </w:trPr>
        <w:tc>
          <w:tcPr>
            <w:tcW w:w="0" w:type="auto"/>
            <w:vAlign w:val="center"/>
            <w:hideMark/>
          </w:tcPr>
          <w:p w:rsidR="003A7288" w:rsidRPr="003A7288" w:rsidRDefault="003A7288" w:rsidP="00023E44">
            <w:pPr>
              <w:rPr>
                <w:b/>
                <w:bCs/>
                <w:sz w:val="16"/>
                <w:szCs w:val="16"/>
              </w:rPr>
            </w:pPr>
            <w:r w:rsidRPr="003A7288">
              <w:rPr>
                <w:b/>
                <w:bCs/>
                <w:sz w:val="16"/>
                <w:szCs w:val="16"/>
              </w:rPr>
              <w:t>6. Den sociale og institutionelle dimension</w:t>
            </w:r>
            <w:r w:rsidR="00B90B71">
              <w:rPr>
                <w:b/>
                <w:bCs/>
                <w:sz w:val="16"/>
                <w:szCs w:val="16"/>
              </w:rPr>
              <w:t xml:space="preserve"> (fællesskaber)</w:t>
            </w:r>
          </w:p>
        </w:tc>
        <w:tc>
          <w:tcPr>
            <w:tcW w:w="0" w:type="auto"/>
            <w:vAlign w:val="center"/>
            <w:hideMark/>
          </w:tcPr>
          <w:p w:rsidR="003A7288" w:rsidRPr="003A7288" w:rsidRDefault="003A7288" w:rsidP="00023E44">
            <w:pPr>
              <w:rPr>
                <w:color w:val="FF0000"/>
                <w:sz w:val="16"/>
                <w:szCs w:val="16"/>
              </w:rPr>
            </w:pPr>
            <w:r w:rsidRPr="003A7288">
              <w:rPr>
                <w:color w:val="FF0000"/>
                <w:sz w:val="16"/>
                <w:szCs w:val="16"/>
              </w:rPr>
              <w:t>Religionernes interne organisation og forhold til det omgivende samfund</w:t>
            </w:r>
          </w:p>
        </w:tc>
        <w:tc>
          <w:tcPr>
            <w:tcW w:w="0" w:type="auto"/>
            <w:vAlign w:val="center"/>
            <w:hideMark/>
          </w:tcPr>
          <w:p w:rsidR="003A7288" w:rsidRPr="003A7288" w:rsidRDefault="003A7288" w:rsidP="00023E44">
            <w:pPr>
              <w:rPr>
                <w:color w:val="0070C0"/>
                <w:sz w:val="16"/>
                <w:szCs w:val="16"/>
              </w:rPr>
            </w:pPr>
            <w:r w:rsidRPr="003A7288">
              <w:rPr>
                <w:color w:val="0070C0"/>
                <w:sz w:val="16"/>
                <w:szCs w:val="16"/>
              </w:rPr>
              <w:t>Kirkens eller munkeordenens organisationsform.</w:t>
            </w:r>
            <w:r w:rsidRPr="003A7288">
              <w:rPr>
                <w:color w:val="0070C0"/>
                <w:sz w:val="16"/>
                <w:szCs w:val="16"/>
              </w:rPr>
              <w:br/>
              <w:t>Regler for autoritet og rangorden.</w:t>
            </w:r>
            <w:r w:rsidRPr="003A7288">
              <w:rPr>
                <w:color w:val="0070C0"/>
                <w:sz w:val="16"/>
                <w:szCs w:val="16"/>
              </w:rPr>
              <w:br/>
              <w:t xml:space="preserve">Religionens </w:t>
            </w:r>
            <w:r w:rsidR="00D83F70" w:rsidRPr="003A7288">
              <w:rPr>
                <w:color w:val="0070C0"/>
                <w:sz w:val="16"/>
                <w:szCs w:val="16"/>
              </w:rPr>
              <w:t>samspil</w:t>
            </w:r>
            <w:r w:rsidRPr="003A7288">
              <w:rPr>
                <w:color w:val="0070C0"/>
                <w:sz w:val="16"/>
                <w:szCs w:val="16"/>
              </w:rPr>
              <w:t xml:space="preserve"> med politik og samfundsliv</w:t>
            </w:r>
          </w:p>
        </w:tc>
      </w:tr>
      <w:tr w:rsidR="003A7288" w:rsidRPr="003A7288" w:rsidTr="00023E44">
        <w:trPr>
          <w:tblCellSpacing w:w="15" w:type="dxa"/>
        </w:trPr>
        <w:tc>
          <w:tcPr>
            <w:tcW w:w="0" w:type="auto"/>
            <w:vAlign w:val="center"/>
            <w:hideMark/>
          </w:tcPr>
          <w:p w:rsidR="003A7288" w:rsidRPr="003A7288" w:rsidRDefault="003A7288" w:rsidP="00023E44">
            <w:pPr>
              <w:rPr>
                <w:b/>
                <w:bCs/>
                <w:sz w:val="16"/>
                <w:szCs w:val="16"/>
              </w:rPr>
            </w:pPr>
            <w:r w:rsidRPr="003A7288">
              <w:rPr>
                <w:b/>
                <w:bCs/>
                <w:sz w:val="16"/>
                <w:szCs w:val="16"/>
              </w:rPr>
              <w:t>7. Den materielle dimension</w:t>
            </w:r>
            <w:r w:rsidR="00B90B71">
              <w:rPr>
                <w:b/>
                <w:bCs/>
                <w:sz w:val="16"/>
                <w:szCs w:val="16"/>
              </w:rPr>
              <w:t xml:space="preserve"> (Bygninger, kunst, genstande)</w:t>
            </w:r>
          </w:p>
        </w:tc>
        <w:tc>
          <w:tcPr>
            <w:tcW w:w="0" w:type="auto"/>
            <w:vAlign w:val="center"/>
            <w:hideMark/>
          </w:tcPr>
          <w:p w:rsidR="003A7288" w:rsidRPr="003A7288" w:rsidRDefault="003A7288" w:rsidP="00023E44">
            <w:pPr>
              <w:rPr>
                <w:color w:val="FF0000"/>
                <w:sz w:val="16"/>
                <w:szCs w:val="16"/>
              </w:rPr>
            </w:pPr>
            <w:r w:rsidRPr="003A7288">
              <w:rPr>
                <w:color w:val="FF0000"/>
                <w:sz w:val="16"/>
                <w:szCs w:val="16"/>
              </w:rPr>
              <w:t>Religionernes udtryk i geografi, bygninger og kunst</w:t>
            </w:r>
          </w:p>
        </w:tc>
        <w:tc>
          <w:tcPr>
            <w:tcW w:w="0" w:type="auto"/>
            <w:vAlign w:val="center"/>
            <w:hideMark/>
          </w:tcPr>
          <w:p w:rsidR="003A7288" w:rsidRPr="003A7288" w:rsidRDefault="003A7288" w:rsidP="00023E44">
            <w:pPr>
              <w:rPr>
                <w:color w:val="0070C0"/>
                <w:sz w:val="16"/>
                <w:szCs w:val="16"/>
              </w:rPr>
            </w:pPr>
            <w:r w:rsidRPr="003A7288">
              <w:rPr>
                <w:color w:val="0070C0"/>
                <w:sz w:val="16"/>
                <w:szCs w:val="16"/>
              </w:rPr>
              <w:t xml:space="preserve">Hellige steder: Jerusalem, Mekka, </w:t>
            </w:r>
            <w:proofErr w:type="spellStart"/>
            <w:r w:rsidRPr="003A7288">
              <w:rPr>
                <w:color w:val="0070C0"/>
                <w:sz w:val="16"/>
                <w:szCs w:val="16"/>
              </w:rPr>
              <w:t>Varanasi</w:t>
            </w:r>
            <w:proofErr w:type="spellEnd"/>
            <w:r w:rsidR="00D83F70">
              <w:rPr>
                <w:color w:val="0070C0"/>
                <w:sz w:val="16"/>
                <w:szCs w:val="16"/>
              </w:rPr>
              <w:t xml:space="preserve">, </w:t>
            </w:r>
            <w:proofErr w:type="spellStart"/>
            <w:r w:rsidR="00D83F70">
              <w:rPr>
                <w:color w:val="0070C0"/>
                <w:sz w:val="16"/>
                <w:szCs w:val="16"/>
              </w:rPr>
              <w:t>Ayodhya</w:t>
            </w:r>
            <w:proofErr w:type="spellEnd"/>
            <w:r w:rsidRPr="003A7288">
              <w:rPr>
                <w:color w:val="0070C0"/>
                <w:sz w:val="16"/>
                <w:szCs w:val="16"/>
              </w:rPr>
              <w:br/>
              <w:t>Udformninger af religionernes bygninger: Kirke, moske, tempel</w:t>
            </w:r>
            <w:r w:rsidRPr="003A7288">
              <w:rPr>
                <w:color w:val="0070C0"/>
                <w:sz w:val="16"/>
                <w:szCs w:val="16"/>
              </w:rPr>
              <w:br/>
              <w:t>Religiøse billeder, statuer og anden kunst.</w:t>
            </w:r>
          </w:p>
        </w:tc>
      </w:tr>
    </w:tbl>
    <w:p w:rsidR="00717A82" w:rsidRPr="003A7288" w:rsidRDefault="00717A82">
      <w:pPr>
        <w:rPr>
          <w:sz w:val="16"/>
          <w:szCs w:val="16"/>
        </w:rPr>
      </w:pPr>
      <w:bookmarkStart w:id="0" w:name="_GoBack"/>
      <w:bookmarkEnd w:id="0"/>
    </w:p>
    <w:sectPr w:rsidR="00717A82" w:rsidRPr="003A7288" w:rsidSect="003A728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288"/>
    <w:rsid w:val="003A7288"/>
    <w:rsid w:val="00717A82"/>
    <w:rsid w:val="008D6F92"/>
    <w:rsid w:val="00B90B71"/>
    <w:rsid w:val="00D83F70"/>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a-DK"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288"/>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288"/>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307</Words>
  <Characters>1878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IT-Center Fyn</Company>
  <LinksUpToDate>false</LinksUpToDate>
  <CharactersWithSpaces>2181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Keld Toftgaard Jakobsen</dc:creator>
  <cp:lastModifiedBy>Keld Toftgaard Jakobsen</cp:lastModifiedBy>
  <cp:revision>4</cp:revision>
  <cp:lastPrinted>2013-05-02T09:11:00Z</cp:lastPrinted>
  <dcterms:created xsi:type="dcterms:W3CDTF">2013-05-02T08:48:00Z</dcterms:created>
  <dcterms:modified xsi:type="dcterms:W3CDTF">2013-05-02T09:12:00Z</dcterms:modified>
</cp:coreProperties>
</file>