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56" w:rsidRPr="00B12956" w:rsidRDefault="00B12956" w:rsidP="00B12956">
      <w:pPr>
        <w:shd w:val="clear" w:color="auto" w:fill="FFFFFF"/>
        <w:spacing w:before="150" w:after="90" w:line="240" w:lineRule="auto"/>
        <w:outlineLvl w:val="0"/>
        <w:rPr>
          <w:rFonts w:eastAsia="Times New Roman" w:cstheme="minorHAnsi"/>
          <w:b/>
          <w:bCs/>
          <w:color w:val="000000"/>
          <w:kern w:val="36"/>
          <w:sz w:val="36"/>
          <w:szCs w:val="36"/>
          <w:lang w:eastAsia="da-DK"/>
        </w:rPr>
      </w:pPr>
      <w:r w:rsidRPr="00B12956">
        <w:rPr>
          <w:rFonts w:eastAsia="Times New Roman" w:cstheme="minorHAnsi"/>
          <w:b/>
          <w:bCs/>
          <w:color w:val="000000"/>
          <w:kern w:val="36"/>
          <w:sz w:val="36"/>
          <w:szCs w:val="36"/>
          <w:lang w:eastAsia="da-DK"/>
        </w:rPr>
        <w:t>Om genren:</w:t>
      </w:r>
      <w:r>
        <w:rPr>
          <w:rFonts w:eastAsia="Times New Roman" w:cstheme="minorHAnsi"/>
          <w:b/>
          <w:bCs/>
          <w:color w:val="000000"/>
          <w:kern w:val="36"/>
          <w:sz w:val="36"/>
          <w:szCs w:val="36"/>
          <w:lang w:eastAsia="da-DK"/>
        </w:rPr>
        <w:t xml:space="preserve"> </w:t>
      </w:r>
      <w:r w:rsidRPr="00B12956">
        <w:rPr>
          <w:rFonts w:eastAsia="Times New Roman" w:cstheme="minorHAnsi"/>
          <w:b/>
          <w:bCs/>
          <w:i/>
          <w:iCs/>
          <w:color w:val="000000"/>
          <w:kern w:val="36"/>
          <w:sz w:val="36"/>
          <w:szCs w:val="36"/>
          <w:lang w:eastAsia="da-DK"/>
        </w:rPr>
        <w:t>Folkeviser</w:t>
      </w:r>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lang w:eastAsia="da-DK"/>
        </w:rPr>
      </w:pPr>
      <w:bookmarkStart w:id="0" w:name="oprindelse"/>
      <w:bookmarkEnd w:id="0"/>
      <w:r w:rsidRPr="00B12956">
        <w:rPr>
          <w:rFonts w:eastAsia="Times New Roman" w:cstheme="minorHAnsi"/>
          <w:b/>
          <w:bCs/>
          <w:color w:val="000000"/>
          <w:sz w:val="27"/>
          <w:szCs w:val="27"/>
          <w:lang w:eastAsia="da-DK"/>
        </w:rPr>
        <w:t>Oprindelse</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Folkeviserne er Danmarks væsentlige bidrag til den tidlige europæiske litteratur. Viserne blev nedskrevet af adelskvinder i 1500-tallet og blev i lang tid betragtet som mundtlige overleveringer helt tilbage fra 1200-tallet. Forholdet mellem oprindelse og nedskrivning er svær at afklare, men viserne tilskrives den middelalderlige kultur og læses i sammenhæng med det middelalderlige samfund.</w:t>
      </w:r>
      <w:bookmarkStart w:id="1" w:name="skjalde"/>
      <w:bookmarkEnd w:id="1"/>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Skjalde</w:t>
      </w:r>
      <w:r>
        <w:rPr>
          <w:rFonts w:eastAsia="Times New Roman" w:cstheme="minorHAnsi"/>
          <w:b/>
          <w:bCs/>
          <w:color w:val="000000"/>
          <w:sz w:val="27"/>
          <w:szCs w:val="27"/>
          <w:lang w:eastAsia="da-DK"/>
        </w:rPr>
        <w:br/>
      </w:r>
      <w:proofErr w:type="spellStart"/>
      <w:r w:rsidRPr="00B12956">
        <w:rPr>
          <w:rFonts w:eastAsia="Times New Roman" w:cstheme="minorHAnsi"/>
          <w:color w:val="000000"/>
          <w:shd w:val="clear" w:color="auto" w:fill="FFFFFF"/>
          <w:lang w:eastAsia="da-DK"/>
        </w:rPr>
        <w:t>Skjalde</w:t>
      </w:r>
      <w:proofErr w:type="spellEnd"/>
      <w:r w:rsidRPr="00B12956">
        <w:rPr>
          <w:rFonts w:eastAsia="Times New Roman" w:cstheme="minorHAnsi"/>
          <w:color w:val="000000"/>
          <w:shd w:val="clear" w:color="auto" w:fill="FFFFFF"/>
          <w:lang w:eastAsia="da-DK"/>
        </w:rPr>
        <w:t xml:space="preserve"> og </w:t>
      </w:r>
      <w:hyperlink r:id="rId5" w:history="1">
        <w:r w:rsidRPr="00B12956">
          <w:rPr>
            <w:rFonts w:eastAsia="Times New Roman" w:cstheme="minorHAnsi"/>
            <w:color w:val="2BAE22"/>
            <w:shd w:val="clear" w:color="auto" w:fill="FFFFFF"/>
            <w:lang w:eastAsia="da-DK"/>
          </w:rPr>
          <w:t>legere</w:t>
        </w:r>
      </w:hyperlink>
      <w:r w:rsidRPr="00B12956">
        <w:rPr>
          <w:rFonts w:eastAsia="Times New Roman" w:cstheme="minorHAnsi"/>
          <w:color w:val="000000"/>
          <w:shd w:val="clear" w:color="auto" w:fill="FFFFFF"/>
          <w:lang w:eastAsia="da-DK"/>
        </w:rPr>
        <w:t xml:space="preserve"> har sunget viserne, mens personerne omkring har sunget med på visernes omkvæd. Omkring fremførelsen hersker der forskellige holdninger, men traditionelt har man ment, at adelen var det primære publikum for viserne. Iørn </w:t>
      </w:r>
      <w:proofErr w:type="spellStart"/>
      <w:r w:rsidRPr="00B12956">
        <w:rPr>
          <w:rFonts w:eastAsia="Times New Roman" w:cstheme="minorHAnsi"/>
          <w:color w:val="000000"/>
          <w:shd w:val="clear" w:color="auto" w:fill="FFFFFF"/>
          <w:lang w:eastAsia="da-DK"/>
        </w:rPr>
        <w:t>Piø</w:t>
      </w:r>
      <w:proofErr w:type="spellEnd"/>
      <w:r w:rsidRPr="00B12956">
        <w:rPr>
          <w:rFonts w:eastAsia="Times New Roman" w:cstheme="minorHAnsi"/>
          <w:color w:val="000000"/>
          <w:shd w:val="clear" w:color="auto" w:fill="FFFFFF"/>
          <w:lang w:eastAsia="da-DK"/>
        </w:rPr>
        <w:t xml:space="preserve"> påpegede dog i 1985, at viserne blev fremført på markedspladser og torve i byen og dermed faktisk var </w:t>
      </w:r>
      <w:proofErr w:type="spellStart"/>
      <w:r w:rsidRPr="00B12956">
        <w:rPr>
          <w:rFonts w:eastAsia="Times New Roman" w:cstheme="minorHAnsi"/>
          <w:color w:val="000000"/>
          <w:shd w:val="clear" w:color="auto" w:fill="FFFFFF"/>
          <w:lang w:eastAsia="da-DK"/>
        </w:rPr>
        <w:t>folke-viser</w:t>
      </w:r>
      <w:proofErr w:type="spellEnd"/>
      <w:r w:rsidRPr="00B12956">
        <w:rPr>
          <w:rFonts w:eastAsia="Times New Roman" w:cstheme="minorHAnsi"/>
          <w:color w:val="000000"/>
          <w:shd w:val="clear" w:color="auto" w:fill="FFFFFF"/>
          <w:lang w:eastAsia="da-DK"/>
        </w:rPr>
        <w:t>.</w:t>
      </w:r>
      <w:r w:rsidRPr="00B12956">
        <w:rPr>
          <w:rFonts w:eastAsia="Times New Roman" w:cstheme="minorHAnsi"/>
          <w:color w:val="000000"/>
          <w:sz w:val="20"/>
          <w:szCs w:val="20"/>
          <w:shd w:val="clear" w:color="auto" w:fill="FFFFFF"/>
          <w:lang w:eastAsia="da-DK"/>
        </w:rPr>
        <w:t> </w:t>
      </w:r>
      <w:r w:rsidRPr="00B12956">
        <w:rPr>
          <w:rFonts w:eastAsia="Times New Roman" w:cstheme="minorHAnsi"/>
          <w:color w:val="000000"/>
          <w:sz w:val="20"/>
          <w:szCs w:val="20"/>
          <w:lang w:eastAsia="da-DK"/>
        </w:rPr>
        <w:br/>
      </w:r>
    </w:p>
    <w:p w:rsidR="00B12956" w:rsidRPr="00B12956" w:rsidRDefault="00B12956" w:rsidP="00B12956">
      <w:pPr>
        <w:shd w:val="clear" w:color="auto" w:fill="FFFFFF"/>
        <w:spacing w:after="0" w:line="240" w:lineRule="auto"/>
        <w:rPr>
          <w:rFonts w:eastAsia="Times New Roman" w:cstheme="minorHAnsi"/>
          <w:color w:val="000000"/>
          <w:sz w:val="20"/>
          <w:szCs w:val="20"/>
          <w:lang w:eastAsia="da-DK"/>
        </w:rPr>
      </w:pPr>
      <w:r w:rsidRPr="00B12956">
        <w:rPr>
          <w:rFonts w:eastAsia="Times New Roman" w:cstheme="minorHAnsi"/>
          <w:noProof/>
          <w:color w:val="000000"/>
          <w:sz w:val="20"/>
          <w:szCs w:val="20"/>
          <w:lang w:eastAsia="da-DK"/>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3406140" cy="1413432"/>
            <wp:effectExtent l="0" t="0" r="3810" b="0"/>
            <wp:wrapSquare wrapText="bothSides"/>
            <wp:docPr id="1" name="Billede 1" descr="http://litteraturportalen.gyldendal.dk/Indgange/Litteraturhistorie_medtiden/Middelalderen/~/media/0C9811D0B34848C383C8C2B7DB808B8B.ashx?h=195&amp;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teraturportalen.gyldendal.dk/Indgange/Litteraturhistorie_medtiden/Middelalderen/~/media/0C9811D0B34848C383C8C2B7DB808B8B.ashx?h=195&amp;w=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6140" cy="1413432"/>
                    </a:xfrm>
                    <a:prstGeom prst="rect">
                      <a:avLst/>
                    </a:prstGeom>
                    <a:noFill/>
                    <a:ln>
                      <a:noFill/>
                    </a:ln>
                  </pic:spPr>
                </pic:pic>
              </a:graphicData>
            </a:graphic>
          </wp:anchor>
        </w:drawing>
      </w:r>
    </w:p>
    <w:p w:rsidR="00B12956" w:rsidRPr="00B12956" w:rsidRDefault="00B12956" w:rsidP="00B12956">
      <w:pPr>
        <w:shd w:val="clear" w:color="auto" w:fill="FFFFFF"/>
        <w:spacing w:after="0" w:line="240" w:lineRule="auto"/>
        <w:rPr>
          <w:rFonts w:eastAsia="Times New Roman" w:cstheme="minorHAnsi"/>
          <w:i/>
          <w:iCs/>
          <w:color w:val="222222"/>
          <w:sz w:val="17"/>
          <w:szCs w:val="17"/>
          <w:lang w:eastAsia="da-DK"/>
        </w:rPr>
      </w:pPr>
      <w:r w:rsidRPr="00B12956">
        <w:rPr>
          <w:rFonts w:eastAsia="Times New Roman" w:cstheme="minorHAnsi"/>
          <w:i/>
          <w:iCs/>
          <w:color w:val="222222"/>
          <w:sz w:val="17"/>
          <w:szCs w:val="17"/>
          <w:lang w:eastAsia="da-DK"/>
        </w:rPr>
        <w:t>Kalkmaleri: Dansefrisen fra Ørslev Kirke (cirka 1325). Dansefrisen viser en slags kædedans, hvor figurerne tydeligt bevæger sig og holder hinanden i hånden.</w:t>
      </w:r>
    </w:p>
    <w:p w:rsidR="00B12956" w:rsidRPr="00B12956" w:rsidRDefault="00B12956" w:rsidP="00B12956">
      <w:pPr>
        <w:shd w:val="clear" w:color="auto" w:fill="FFFFFF"/>
        <w:spacing w:after="0" w:line="240" w:lineRule="auto"/>
        <w:rPr>
          <w:rFonts w:eastAsia="Times New Roman" w:cstheme="minorHAnsi"/>
          <w:i/>
          <w:iCs/>
          <w:color w:val="222222"/>
          <w:sz w:val="17"/>
          <w:szCs w:val="17"/>
          <w:lang w:eastAsia="da-DK"/>
        </w:rPr>
      </w:pPr>
      <w:r w:rsidRPr="00B12956">
        <w:rPr>
          <w:rFonts w:eastAsia="Times New Roman" w:cstheme="minorHAnsi"/>
          <w:i/>
          <w:iCs/>
          <w:color w:val="222222"/>
          <w:sz w:val="17"/>
          <w:szCs w:val="17"/>
          <w:lang w:eastAsia="da-DK"/>
        </w:rPr>
        <w:t>© Ørslev Kirke</w:t>
      </w:r>
    </w:p>
    <w:p w:rsidR="00D110E7" w:rsidRDefault="00D110E7" w:rsidP="00B12956">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bookmarkStart w:id="2" w:name="konflikten"/>
      <w:bookmarkEnd w:id="2"/>
    </w:p>
    <w:p w:rsidR="00D110E7" w:rsidRDefault="00D110E7" w:rsidP="00B12956">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bookmarkStart w:id="3" w:name="_GoBack"/>
      <w:bookmarkEnd w:id="3"/>
      <w:r w:rsidRPr="00B12956">
        <w:rPr>
          <w:rFonts w:eastAsia="Times New Roman" w:cstheme="minorHAnsi"/>
          <w:b/>
          <w:bCs/>
          <w:color w:val="000000"/>
          <w:sz w:val="27"/>
          <w:szCs w:val="27"/>
          <w:lang w:eastAsia="da-DK"/>
        </w:rPr>
        <w:t>Konflikten</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Personerne i folkeviserne er ofte adelens mænd og kvinder, der udsættes for en svær – til tider uløselig – konflikt mellem slægten og det enkelte menneske. Konflikterne udspiller sig gerne i forbindelse med giftemålet, en handling, der både er af afgørende betydning for slægtens videreførelse og for det individuelle liv. Had, kærlighed, jalousi, ære og hævn sender de væne møer og bolde svende ud i blodige, magiske og dødelige scenarier.</w:t>
      </w:r>
      <w:bookmarkStart w:id="4" w:name="nedskrivningen"/>
      <w:bookmarkEnd w:id="4"/>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Nedskrivningen</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Der er ingen konkret digter bag folkeviserne. De er nedskrevet, men ikke kunstnerisk bearbejdet og personliggjort i den proces. Det betyder, at vi i læsningen arbejder med en sær kollektiv afsender, hvilket gør det nærliggende at tolke viserne som udtryk for ’folket i perioden’. Det kan problematiseres på flere måder – især fordi man ved så lidt om visernes oprindelse.</w:t>
      </w:r>
      <w:bookmarkStart w:id="5" w:name="digte"/>
      <w:bookmarkEnd w:id="5"/>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Digte</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Viserne er episk-lyriske digte og samlet i </w:t>
      </w:r>
      <w:r w:rsidRPr="00B12956">
        <w:rPr>
          <w:rFonts w:eastAsia="Times New Roman" w:cstheme="minorHAnsi"/>
          <w:i/>
          <w:iCs/>
          <w:color w:val="000000"/>
          <w:shd w:val="clear" w:color="auto" w:fill="FFFFFF"/>
          <w:lang w:eastAsia="da-DK"/>
        </w:rPr>
        <w:t>Danmarks Gamle Folkeviser</w:t>
      </w:r>
      <w:r w:rsidRPr="00B12956">
        <w:rPr>
          <w:rFonts w:eastAsia="Times New Roman" w:cstheme="minorHAnsi"/>
          <w:color w:val="000000"/>
          <w:shd w:val="clear" w:color="auto" w:fill="FFFFFF"/>
          <w:lang w:eastAsia="da-DK"/>
        </w:rPr>
        <w:t> i 12 bind. Samlingen blev igangsat af Svend Grundtvig (1824-1883; N.F.S. Grundtvigs søn).</w:t>
      </w:r>
      <w:bookmarkStart w:id="6" w:name="romantikken"/>
      <w:bookmarkEnd w:id="6"/>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r w:rsidRPr="00B12956">
        <w:rPr>
          <w:rFonts w:eastAsia="Times New Roman" w:cstheme="minorHAnsi"/>
          <w:b/>
          <w:bCs/>
          <w:color w:val="000000"/>
          <w:sz w:val="27"/>
          <w:szCs w:val="27"/>
          <w:lang w:eastAsia="da-DK"/>
        </w:rPr>
        <w:t>Romantikken</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Viserne fik en betydelig renæssance i romantikken (1800-1870), hvor digtere og kunstnere genopdagede Danmarks fortid og bragte middelalderens mytiske stof ind i litteraturen og kunsten i en ny sammenhæng. </w:t>
      </w:r>
      <w:r w:rsidRPr="00B12956">
        <w:rPr>
          <w:rFonts w:eastAsia="Times New Roman" w:cstheme="minorHAnsi"/>
          <w:color w:val="000000"/>
          <w:lang w:eastAsia="da-DK"/>
        </w:rPr>
        <w:br/>
      </w:r>
      <w:r w:rsidRPr="00B12956">
        <w:rPr>
          <w:rFonts w:eastAsia="Times New Roman" w:cstheme="minorHAnsi"/>
          <w:color w:val="000000"/>
          <w:lang w:eastAsia="da-DK"/>
        </w:rPr>
        <w:br/>
      </w:r>
      <w:r w:rsidRPr="00B12956">
        <w:rPr>
          <w:rFonts w:eastAsia="Times New Roman" w:cstheme="minorHAnsi"/>
          <w:color w:val="000000"/>
          <w:sz w:val="20"/>
          <w:szCs w:val="20"/>
          <w:lang w:eastAsia="da-DK"/>
        </w:rPr>
        <w:lastRenderedPageBreak/>
        <w:br/>
      </w:r>
      <w:bookmarkStart w:id="7" w:name="folkevisertyper"/>
      <w:bookmarkEnd w:id="7"/>
      <w:r w:rsidRPr="00B12956">
        <w:rPr>
          <w:rFonts w:eastAsia="Times New Roman" w:cstheme="minorHAnsi"/>
          <w:b/>
          <w:bCs/>
          <w:color w:val="000000"/>
          <w:sz w:val="27"/>
          <w:szCs w:val="27"/>
          <w:lang w:eastAsia="da-DK"/>
        </w:rPr>
        <w:t>Folkeviser – typer</w:t>
      </w:r>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bookmarkStart w:id="8" w:name="ridderviser"/>
      <w:bookmarkEnd w:id="8"/>
      <w:r w:rsidRPr="00B12956">
        <w:rPr>
          <w:rFonts w:eastAsia="Times New Roman" w:cstheme="minorHAnsi"/>
          <w:b/>
          <w:bCs/>
          <w:color w:val="000000"/>
          <w:sz w:val="27"/>
          <w:szCs w:val="27"/>
          <w:lang w:eastAsia="da-DK"/>
        </w:rPr>
        <w:t>Ridderviser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I ridderviser foregår handlingen i et adeligt miljø, og konflikten er ofte modstridende kræfter i forholdet mellem den enkelte kvinde eller mand og slægten. Kærlighed og had optræder som anarkistiske og destruktive kræfter, der truer slægtens position, jordbesiddelser og magt. Viserne skildrer gerne tragiske handlingsforløb, der kommer som konsekvens af normbrud.</w:t>
      </w:r>
      <w:bookmarkStart w:id="9" w:name="trylleviser"/>
      <w:bookmarkEnd w:id="9"/>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Trylleviser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 xml:space="preserve">I trylleviser er de voldsomme kræfter fremstillet som overnaturlige væsner. Mennesket kommer ofte til kort over for dværge, nymfer, </w:t>
      </w:r>
      <w:proofErr w:type="spellStart"/>
      <w:r w:rsidRPr="00B12956">
        <w:rPr>
          <w:rFonts w:eastAsia="Times New Roman" w:cstheme="minorHAnsi"/>
          <w:color w:val="000000"/>
          <w:shd w:val="clear" w:color="auto" w:fill="FFFFFF"/>
          <w:lang w:eastAsia="da-DK"/>
        </w:rPr>
        <w:t>elvere</w:t>
      </w:r>
      <w:proofErr w:type="spellEnd"/>
      <w:r w:rsidRPr="00B12956">
        <w:rPr>
          <w:rFonts w:eastAsia="Times New Roman" w:cstheme="minorHAnsi"/>
          <w:color w:val="000000"/>
          <w:shd w:val="clear" w:color="auto" w:fill="FFFFFF"/>
          <w:lang w:eastAsia="da-DK"/>
        </w:rPr>
        <w:t xml:space="preserve"> og magi, men kan også selv bruge magien som forløser og omformer. I analyserne kan man diskutere, hvad magien er et billede på, men i samtiden har man formodentlig anset de overnaturlige fænomener for virkelige.</w:t>
      </w:r>
      <w:bookmarkStart w:id="10" w:name="historiskeviser"/>
      <w:bookmarkEnd w:id="10"/>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Historiske viser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De historiske viser er baseret på faktiske personer og kredsen omkring dem. Det er ofte de kongeliges gerninger og skæbner, der beskrives, men viserne er ikke historiske dokumenter. De er fiktionsfortællinger med afsæt i historiske personer og begivenheder.</w:t>
      </w:r>
      <w:bookmarkStart w:id="11" w:name="skaemteviser"/>
      <w:bookmarkEnd w:id="11"/>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Skæmteviser</w:t>
      </w:r>
      <w:r>
        <w:rPr>
          <w:rFonts w:eastAsia="Times New Roman" w:cstheme="minorHAnsi"/>
          <w:b/>
          <w:bCs/>
          <w:color w:val="000000"/>
          <w:sz w:val="27"/>
          <w:szCs w:val="27"/>
          <w:lang w:eastAsia="da-DK"/>
        </w:rPr>
        <w:br/>
      </w:r>
      <w:proofErr w:type="spellStart"/>
      <w:r w:rsidRPr="00B12956">
        <w:rPr>
          <w:rFonts w:eastAsia="Times New Roman" w:cstheme="minorHAnsi"/>
          <w:color w:val="000000"/>
          <w:shd w:val="clear" w:color="auto" w:fill="FFFFFF"/>
          <w:lang w:eastAsia="da-DK"/>
        </w:rPr>
        <w:t>Skæmteviser</w:t>
      </w:r>
      <w:proofErr w:type="spellEnd"/>
      <w:r w:rsidRPr="00B12956">
        <w:rPr>
          <w:rFonts w:eastAsia="Times New Roman" w:cstheme="minorHAnsi"/>
          <w:color w:val="000000"/>
          <w:shd w:val="clear" w:color="auto" w:fill="FFFFFF"/>
          <w:lang w:eastAsia="da-DK"/>
        </w:rPr>
        <w:t xml:space="preserve"> er plagierende og drillende og efteraber ofte den klassiske folkeviseform. Denne kategori af viser kan også indskrives i den folkelige kultur i Europa, hvor platheder og sjofelheder blev udfoldet i fuldt flor. Personerne er hentet fra lavere sociale lag end i de øvrige visetyper.</w:t>
      </w:r>
      <w:bookmarkStart w:id="12" w:name="kaempeviser"/>
      <w:bookmarkEnd w:id="12"/>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r w:rsidRPr="00B12956">
        <w:rPr>
          <w:rFonts w:eastAsia="Times New Roman" w:cstheme="minorHAnsi"/>
          <w:b/>
          <w:bCs/>
          <w:color w:val="000000"/>
          <w:sz w:val="27"/>
          <w:szCs w:val="27"/>
          <w:lang w:eastAsia="da-DK"/>
        </w:rPr>
        <w:t>Kæmpeviser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I kæmpeviserne møder man personer fra mytologien. Det er oldtidens nordiske heltesagn, der danner grundlag for visernes personkreds og handling.</w:t>
      </w:r>
      <w:r w:rsidRPr="00B12956">
        <w:rPr>
          <w:rFonts w:eastAsia="Times New Roman" w:cstheme="minorHAnsi"/>
          <w:color w:val="000000"/>
          <w:sz w:val="20"/>
          <w:szCs w:val="20"/>
          <w:shd w:val="clear" w:color="auto" w:fill="FFFFFF"/>
          <w:lang w:eastAsia="da-DK"/>
        </w:rPr>
        <w:t> </w:t>
      </w:r>
      <w:r w:rsidRPr="00B12956">
        <w:rPr>
          <w:rFonts w:eastAsia="Times New Roman" w:cstheme="minorHAnsi"/>
          <w:color w:val="000000"/>
          <w:sz w:val="20"/>
          <w:szCs w:val="20"/>
          <w:lang w:eastAsia="da-DK"/>
        </w:rPr>
        <w:br/>
      </w:r>
      <w:r w:rsidRPr="00B12956">
        <w:rPr>
          <w:rFonts w:eastAsia="Times New Roman" w:cstheme="minorHAnsi"/>
          <w:color w:val="000000"/>
          <w:sz w:val="20"/>
          <w:szCs w:val="20"/>
          <w:lang w:eastAsia="da-DK"/>
        </w:rPr>
        <w:br/>
      </w:r>
      <w:bookmarkStart w:id="13" w:name="stilistisketraek"/>
      <w:bookmarkEnd w:id="13"/>
      <w:r>
        <w:rPr>
          <w:rFonts w:eastAsia="Times New Roman" w:cstheme="minorHAnsi"/>
          <w:b/>
          <w:bCs/>
          <w:color w:val="000000"/>
          <w:sz w:val="27"/>
          <w:szCs w:val="27"/>
          <w:lang w:eastAsia="da-DK"/>
        </w:rPr>
        <w:br/>
      </w:r>
      <w:r w:rsidRPr="00B12956">
        <w:rPr>
          <w:rFonts w:eastAsia="Times New Roman" w:cstheme="minorHAnsi"/>
          <w:b/>
          <w:bCs/>
          <w:color w:val="000000"/>
          <w:sz w:val="27"/>
          <w:szCs w:val="27"/>
          <w:lang w:eastAsia="da-DK"/>
        </w:rPr>
        <w:t>Stilistiske træk</w:t>
      </w:r>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bookmarkStart w:id="14" w:name="opbygning"/>
      <w:bookmarkEnd w:id="14"/>
      <w:r w:rsidRPr="00B12956">
        <w:rPr>
          <w:rFonts w:eastAsia="Times New Roman" w:cstheme="minorHAnsi"/>
          <w:b/>
          <w:bCs/>
          <w:color w:val="000000"/>
          <w:sz w:val="27"/>
          <w:szCs w:val="27"/>
          <w:lang w:eastAsia="da-DK"/>
        </w:rPr>
        <w:t>Opbygning</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 xml:space="preserve">Viserne er opbygget som 2- eller 4-strofede. Der er omkvæd og eventuelt mellem kvæd, der gentages fast i alle strofer. Omkvæd og </w:t>
      </w:r>
      <w:proofErr w:type="spellStart"/>
      <w:r w:rsidRPr="00B12956">
        <w:rPr>
          <w:rFonts w:eastAsia="Times New Roman" w:cstheme="minorHAnsi"/>
          <w:color w:val="000000"/>
          <w:shd w:val="clear" w:color="auto" w:fill="FFFFFF"/>
          <w:lang w:eastAsia="da-DK"/>
        </w:rPr>
        <w:t>mellemkvæd</w:t>
      </w:r>
      <w:proofErr w:type="spellEnd"/>
      <w:r w:rsidRPr="00B12956">
        <w:rPr>
          <w:rFonts w:eastAsia="Times New Roman" w:cstheme="minorHAnsi"/>
          <w:color w:val="000000"/>
          <w:shd w:val="clear" w:color="auto" w:fill="FFFFFF"/>
          <w:lang w:eastAsia="da-DK"/>
        </w:rPr>
        <w:t xml:space="preserve"> anslår ofte visens tematiske indhold eller stemning.</w:t>
      </w:r>
      <w:bookmarkStart w:id="15" w:name="rimrytme"/>
      <w:bookmarkEnd w:id="15"/>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Rim og rytme</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Rimstruktur og rytme er fri, således at verselinjerne følger hinanden nogenlunde i længde, men ikke i versefødder og en fast rimstruktur. Sammenhængen er oftere skabt af gentagelsesformler.</w:t>
      </w:r>
      <w:bookmarkStart w:id="16" w:name="formelsprog"/>
      <w:bookmarkEnd w:id="16"/>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lang w:eastAsia="da-DK"/>
        </w:rPr>
      </w:pPr>
      <w:r w:rsidRPr="00B12956">
        <w:rPr>
          <w:rFonts w:eastAsia="Times New Roman" w:cstheme="minorHAnsi"/>
          <w:b/>
          <w:bCs/>
          <w:color w:val="000000"/>
          <w:sz w:val="27"/>
          <w:szCs w:val="27"/>
          <w:lang w:eastAsia="da-DK"/>
        </w:rPr>
        <w:t>Formelsprog</w:t>
      </w:r>
      <w:r>
        <w:rPr>
          <w:rFonts w:eastAsia="Times New Roman" w:cstheme="minorHAnsi"/>
          <w:b/>
          <w:bCs/>
          <w:color w:val="000000"/>
          <w:sz w:val="27"/>
          <w:szCs w:val="27"/>
          <w:lang w:eastAsia="da-DK"/>
        </w:rPr>
        <w:br/>
      </w:r>
      <w:proofErr w:type="spellStart"/>
      <w:r w:rsidRPr="00B12956">
        <w:rPr>
          <w:rFonts w:eastAsia="Times New Roman" w:cstheme="minorHAnsi"/>
          <w:color w:val="000000"/>
          <w:shd w:val="clear" w:color="auto" w:fill="FFFFFF"/>
          <w:lang w:eastAsia="da-DK"/>
        </w:rPr>
        <w:t>Formelsprog</w:t>
      </w:r>
      <w:proofErr w:type="spellEnd"/>
      <w:r w:rsidRPr="00B12956">
        <w:rPr>
          <w:rFonts w:eastAsia="Times New Roman" w:cstheme="minorHAnsi"/>
          <w:color w:val="000000"/>
          <w:shd w:val="clear" w:color="auto" w:fill="FFFFFF"/>
          <w:lang w:eastAsia="da-DK"/>
        </w:rPr>
        <w:t xml:space="preserve"> er et typisk træk ved folkevisernes stil. Det er faste poetiske sætninger eller sætningsdele, der har en klar betydning. Det er ofte metaforiske vendinger som „red sig under ø“ eller „så væn en mø“, der blot betyder at personen rejste fra et sted til et andet og „så smuk en kvinde“.</w:t>
      </w:r>
      <w:bookmarkStart w:id="17" w:name="syrebadsteknik"/>
      <w:bookmarkEnd w:id="17"/>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Syrebadsteknik</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 xml:space="preserve">Reduktionen af begivenheder til det mest nødvendige kaldes syrebadsteknik. Det individuelle er ætset væk, </w:t>
      </w:r>
      <w:r w:rsidRPr="00B12956">
        <w:rPr>
          <w:rFonts w:eastAsia="Times New Roman" w:cstheme="minorHAnsi"/>
          <w:color w:val="000000"/>
          <w:shd w:val="clear" w:color="auto" w:fill="FFFFFF"/>
          <w:lang w:eastAsia="da-DK"/>
        </w:rPr>
        <w:lastRenderedPageBreak/>
        <w:t>og tilbage står kun de mest nødvendige oplysninger. Ofte skal man derfor være meget opmærksom for at fange handlingens forløb.</w:t>
      </w:r>
      <w:bookmarkStart w:id="18" w:name="gentagelser"/>
      <w:bookmarkEnd w:id="18"/>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Gentagelser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 xml:space="preserve">Der er mange variationer af gentagelser i folkeviserne, men to meget anvendte: I </w:t>
      </w:r>
      <w:proofErr w:type="spellStart"/>
      <w:r w:rsidRPr="00B12956">
        <w:rPr>
          <w:rFonts w:eastAsia="Times New Roman" w:cstheme="minorHAnsi"/>
          <w:color w:val="000000"/>
          <w:shd w:val="clear" w:color="auto" w:fill="FFFFFF"/>
          <w:lang w:eastAsia="da-DK"/>
        </w:rPr>
        <w:t>epanastrofen</w:t>
      </w:r>
      <w:proofErr w:type="spellEnd"/>
      <w:r w:rsidRPr="00B12956">
        <w:rPr>
          <w:rFonts w:eastAsia="Times New Roman" w:cstheme="minorHAnsi"/>
          <w:color w:val="000000"/>
          <w:shd w:val="clear" w:color="auto" w:fill="FFFFFF"/>
          <w:lang w:eastAsia="da-DK"/>
        </w:rPr>
        <w:t xml:space="preserve"> gentages den sidste linje i en strofe som indledningen af den næste. I </w:t>
      </w:r>
      <w:proofErr w:type="spellStart"/>
      <w:r w:rsidRPr="00B12956">
        <w:rPr>
          <w:rFonts w:eastAsia="Times New Roman" w:cstheme="minorHAnsi"/>
          <w:color w:val="000000"/>
          <w:shd w:val="clear" w:color="auto" w:fill="FFFFFF"/>
          <w:lang w:eastAsia="da-DK"/>
        </w:rPr>
        <w:t>isocolonen</w:t>
      </w:r>
      <w:proofErr w:type="spellEnd"/>
      <w:r w:rsidRPr="00B12956">
        <w:rPr>
          <w:rFonts w:eastAsia="Times New Roman" w:cstheme="minorHAnsi"/>
          <w:color w:val="000000"/>
          <w:shd w:val="clear" w:color="auto" w:fill="FFFFFF"/>
          <w:lang w:eastAsia="da-DK"/>
        </w:rPr>
        <w:t xml:space="preserve"> gentages hele sætninger med variation.</w:t>
      </w:r>
      <w:bookmarkStart w:id="19" w:name="spejlscener"/>
      <w:bookmarkEnd w:id="19"/>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Spejlscener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Spejlscener, hvor et handlingselement gentages med små variationer, optræder ofte som konsekvens af formelsprog og gentagelsesstrukturer. Man kan i analysen ofte inddrage dem som kompositionselementer</w:t>
      </w:r>
      <w:r w:rsidRPr="00B12956">
        <w:rPr>
          <w:rFonts w:eastAsia="Times New Roman" w:cstheme="minorHAnsi"/>
          <w:color w:val="000000"/>
          <w:sz w:val="20"/>
          <w:szCs w:val="20"/>
          <w:shd w:val="clear" w:color="auto" w:fill="FFFFFF"/>
          <w:lang w:eastAsia="da-DK"/>
        </w:rPr>
        <w:t>.</w:t>
      </w:r>
      <w:bookmarkStart w:id="20" w:name="symboler"/>
      <w:bookmarkEnd w:id="20"/>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lang w:eastAsia="da-DK"/>
        </w:rPr>
      </w:pPr>
      <w:r w:rsidRPr="00B12956">
        <w:rPr>
          <w:rFonts w:eastAsia="Times New Roman" w:cstheme="minorHAnsi"/>
          <w:b/>
          <w:bCs/>
          <w:color w:val="000000"/>
          <w:sz w:val="27"/>
          <w:szCs w:val="27"/>
          <w:lang w:eastAsia="da-DK"/>
        </w:rPr>
        <w:t>Symboler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Der optræder ofte smykker, klæder, nøgler og lignende, som man kan tolke som symboler for magt, besiddelser eller følelsesmæssige begreber. Også de dæmoniske figurer, fugleham, runer og andet magisk kan tolkes som symboler for lyst, kærlighed, had eller fortabelse.</w:t>
      </w:r>
      <w:bookmarkStart w:id="21" w:name="metrik"/>
      <w:bookmarkEnd w:id="21"/>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Metrik</w:t>
      </w:r>
      <w:r>
        <w:rPr>
          <w:rFonts w:eastAsia="Times New Roman" w:cstheme="minorHAnsi"/>
          <w:b/>
          <w:bCs/>
          <w:color w:val="000000"/>
          <w:sz w:val="27"/>
          <w:szCs w:val="27"/>
          <w:lang w:eastAsia="da-DK"/>
        </w:rPr>
        <w:br/>
      </w:r>
      <w:proofErr w:type="spellStart"/>
      <w:r w:rsidRPr="00B12956">
        <w:rPr>
          <w:rFonts w:eastAsia="Times New Roman" w:cstheme="minorHAnsi"/>
          <w:color w:val="000000"/>
          <w:shd w:val="clear" w:color="auto" w:fill="FFFFFF"/>
          <w:lang w:eastAsia="da-DK"/>
        </w:rPr>
        <w:t>Metrik</w:t>
      </w:r>
      <w:proofErr w:type="spellEnd"/>
      <w:r w:rsidRPr="00B12956">
        <w:rPr>
          <w:rFonts w:eastAsia="Times New Roman" w:cstheme="minorHAnsi"/>
          <w:color w:val="000000"/>
          <w:shd w:val="clear" w:color="auto" w:fill="FFFFFF"/>
          <w:lang w:eastAsia="da-DK"/>
        </w:rPr>
        <w:t xml:space="preserve"> betyder læren om rytmiske virkemidler og rim i vers. Metrisk er folkeviserne bygget op som korte strofer, der kan rime, men ikke altid gør det. I mange tilfælde efter strukturen ABCB. Trykfordelingen er ofte 4-3-4-3 plus et varierende antal tryksvage stavelser.</w:t>
      </w:r>
      <w:bookmarkStart w:id="22" w:name="varsler"/>
      <w:bookmarkEnd w:id="22"/>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Varsler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Inden katastroferne indtræder i visens univers, ses sommetider et varsel i form af replikker eller drømme. Effekten er dramaturgisk: Vi ved, at det vil gå galt, og følger derfra derouten trin for trin.</w:t>
      </w:r>
      <w:bookmarkStart w:id="23" w:name="tal"/>
      <w:bookmarkEnd w:id="23"/>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b/>
          <w:bCs/>
          <w:color w:val="000000"/>
          <w:sz w:val="27"/>
          <w:szCs w:val="27"/>
          <w:lang w:eastAsia="da-DK"/>
        </w:rPr>
      </w:pPr>
      <w:r w:rsidRPr="00B12956">
        <w:rPr>
          <w:rFonts w:eastAsia="Times New Roman" w:cstheme="minorHAnsi"/>
          <w:b/>
          <w:bCs/>
          <w:color w:val="000000"/>
          <w:sz w:val="27"/>
          <w:szCs w:val="27"/>
          <w:lang w:eastAsia="da-DK"/>
        </w:rPr>
        <w:t>Tal</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Som i folkeeventyr og de senere kunsteventyr optræder der ofte tal i folkeviserne. Tallene er ikke nødvendigvis magiske, men der vil ofte være angivet, hvor mange år, der er gået, hvor mange bejlere, hvor mange børn osv.</w:t>
      </w:r>
      <w:r w:rsidRPr="00B12956">
        <w:rPr>
          <w:rFonts w:eastAsia="Times New Roman" w:cstheme="minorHAnsi"/>
          <w:color w:val="000000"/>
          <w:sz w:val="20"/>
          <w:szCs w:val="20"/>
          <w:shd w:val="clear" w:color="auto" w:fill="FFFFFF"/>
          <w:lang w:eastAsia="da-DK"/>
        </w:rPr>
        <w:t> </w:t>
      </w:r>
      <w:r w:rsidRPr="00B12956">
        <w:rPr>
          <w:rFonts w:eastAsia="Times New Roman" w:cstheme="minorHAnsi"/>
          <w:color w:val="000000"/>
          <w:sz w:val="20"/>
          <w:szCs w:val="20"/>
          <w:lang w:eastAsia="da-DK"/>
        </w:rPr>
        <w:br/>
      </w:r>
      <w:r w:rsidRPr="00B12956">
        <w:rPr>
          <w:rFonts w:eastAsia="Times New Roman" w:cstheme="minorHAnsi"/>
          <w:color w:val="000000"/>
          <w:sz w:val="20"/>
          <w:szCs w:val="20"/>
          <w:lang w:eastAsia="da-DK"/>
        </w:rPr>
        <w:br/>
      </w:r>
      <w:bookmarkStart w:id="24" w:name="handlingtemaer"/>
      <w:bookmarkEnd w:id="24"/>
      <w:r>
        <w:rPr>
          <w:rFonts w:eastAsia="Times New Roman" w:cstheme="minorHAnsi"/>
          <w:b/>
          <w:bCs/>
          <w:color w:val="000000"/>
          <w:sz w:val="27"/>
          <w:szCs w:val="27"/>
          <w:lang w:eastAsia="da-DK"/>
        </w:rPr>
        <w:br/>
      </w:r>
      <w:r w:rsidRPr="00B12956">
        <w:rPr>
          <w:rFonts w:eastAsia="Times New Roman" w:cstheme="minorHAnsi"/>
          <w:b/>
          <w:bCs/>
          <w:color w:val="000000"/>
          <w:sz w:val="27"/>
          <w:szCs w:val="27"/>
          <w:lang w:eastAsia="da-DK"/>
        </w:rPr>
        <w:t>Handling og temaer</w:t>
      </w:r>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bookmarkStart w:id="25" w:name="temaer"/>
      <w:bookmarkEnd w:id="25"/>
      <w:r w:rsidRPr="00B12956">
        <w:rPr>
          <w:rFonts w:eastAsia="Times New Roman" w:cstheme="minorHAnsi"/>
          <w:b/>
          <w:bCs/>
          <w:color w:val="000000"/>
          <w:sz w:val="27"/>
          <w:szCs w:val="27"/>
          <w:lang w:eastAsia="da-DK"/>
        </w:rPr>
        <w:t>Temaer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Temaer i folkeviserne er ofte slægt og individ, det kvindelige og det mandlige, tro, overgangsfaser, naturens kræfter, lyst og pligt. Det peger frem mod den mere moderne undersøgelse af individ kontra kollektiv samt det undertrykte og forbudte i mennesket.</w:t>
      </w:r>
      <w:bookmarkStart w:id="26" w:name="indrelivydrehandlinger"/>
      <w:bookmarkEnd w:id="26"/>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lang w:eastAsia="da-DK"/>
        </w:rPr>
      </w:pPr>
      <w:r w:rsidRPr="00B12956">
        <w:rPr>
          <w:rFonts w:eastAsia="Times New Roman" w:cstheme="minorHAnsi"/>
          <w:b/>
          <w:bCs/>
          <w:color w:val="000000"/>
          <w:sz w:val="27"/>
          <w:szCs w:val="27"/>
          <w:lang w:eastAsia="da-DK"/>
        </w:rPr>
        <w:t>Indre liv – ydre handlinger</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Folkeviserne beskriver det indre liv med ydre handlinger. Vi får ikke personernes følelsesliv eller refleksioner fremstillet, men kan ofte aflæse stærke følelser og dilemmaer ud af de handlinger, der gennemspilles.</w:t>
      </w:r>
      <w:bookmarkStart w:id="27" w:name="kristendommen"/>
      <w:bookmarkEnd w:id="27"/>
    </w:p>
    <w:p w:rsidR="00B12956" w:rsidRPr="00B12956" w:rsidRDefault="00B12956" w:rsidP="00B12956">
      <w:pPr>
        <w:shd w:val="clear" w:color="auto" w:fill="FFFFFF"/>
        <w:spacing w:before="100" w:beforeAutospacing="1" w:after="100" w:afterAutospacing="1" w:line="240" w:lineRule="auto"/>
        <w:outlineLvl w:val="2"/>
        <w:rPr>
          <w:rFonts w:eastAsia="Times New Roman" w:cstheme="minorHAnsi"/>
          <w:sz w:val="24"/>
          <w:szCs w:val="24"/>
          <w:lang w:eastAsia="da-DK"/>
        </w:rPr>
      </w:pPr>
      <w:r w:rsidRPr="00B12956">
        <w:rPr>
          <w:rFonts w:eastAsia="Times New Roman" w:cstheme="minorHAnsi"/>
          <w:b/>
          <w:bCs/>
          <w:color w:val="000000"/>
          <w:sz w:val="27"/>
          <w:szCs w:val="27"/>
          <w:lang w:eastAsia="da-DK"/>
        </w:rPr>
        <w:t>Kristendommen</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 xml:space="preserve">Der er spor af kristendommen i viserne på flere måder. Der optræder klostre og kirker, og personerne beder og påkalder sig Jomfru Maria. Spørgsmålet er, om handlingen fremstiller et kristent livssyn? Viserne </w:t>
      </w:r>
      <w:r w:rsidRPr="00B12956">
        <w:rPr>
          <w:rFonts w:eastAsia="Times New Roman" w:cstheme="minorHAnsi"/>
          <w:color w:val="000000"/>
          <w:shd w:val="clear" w:color="auto" w:fill="FFFFFF"/>
          <w:lang w:eastAsia="da-DK"/>
        </w:rPr>
        <w:lastRenderedPageBreak/>
        <w:t>kan opfattes som ikke- kristne fortællinger, der er blevet iklædt henvisninger til den stærke katolske kirkes symboler.</w:t>
      </w:r>
      <w:bookmarkStart w:id="28" w:name="psykologisktolkning"/>
      <w:bookmarkEnd w:id="28"/>
    </w:p>
    <w:p w:rsidR="0044459B" w:rsidRPr="00B12956" w:rsidRDefault="00B12956" w:rsidP="00B12956">
      <w:pPr>
        <w:shd w:val="clear" w:color="auto" w:fill="FFFFFF"/>
        <w:spacing w:before="100" w:beforeAutospacing="1" w:after="100" w:afterAutospacing="1" w:line="240" w:lineRule="auto"/>
        <w:outlineLvl w:val="2"/>
        <w:rPr>
          <w:rFonts w:cstheme="minorHAnsi"/>
        </w:rPr>
      </w:pPr>
      <w:r w:rsidRPr="00B12956">
        <w:rPr>
          <w:rFonts w:eastAsia="Times New Roman" w:cstheme="minorHAnsi"/>
          <w:b/>
          <w:bCs/>
          <w:color w:val="000000"/>
          <w:sz w:val="27"/>
          <w:szCs w:val="27"/>
          <w:lang w:eastAsia="da-DK"/>
        </w:rPr>
        <w:t>Psykologisk tolkning</w:t>
      </w:r>
      <w:r>
        <w:rPr>
          <w:rFonts w:eastAsia="Times New Roman" w:cstheme="minorHAnsi"/>
          <w:b/>
          <w:bCs/>
          <w:color w:val="000000"/>
          <w:sz w:val="27"/>
          <w:szCs w:val="27"/>
          <w:lang w:eastAsia="da-DK"/>
        </w:rPr>
        <w:br/>
      </w:r>
      <w:r w:rsidRPr="00B12956">
        <w:rPr>
          <w:rFonts w:eastAsia="Times New Roman" w:cstheme="minorHAnsi"/>
          <w:color w:val="000000"/>
          <w:shd w:val="clear" w:color="auto" w:fill="FFFFFF"/>
          <w:lang w:eastAsia="da-DK"/>
        </w:rPr>
        <w:t xml:space="preserve">Villy Sørensens læsninger har rod i den psykoanalytiske teori og menneskets underbevidsthed og fælles ubevidsthed. Overgangsfaser og arketyper kan være en nøgle til forståelse af visernes magiske stof. Med en psykologisk tolkning forstår man ofte de magiske og overnaturlige elementer som billeder på kræfter </w:t>
      </w:r>
      <w:proofErr w:type="gramStart"/>
      <w:r w:rsidRPr="00B12956">
        <w:rPr>
          <w:rFonts w:eastAsia="Times New Roman" w:cstheme="minorHAnsi"/>
          <w:color w:val="000000"/>
          <w:shd w:val="clear" w:color="auto" w:fill="FFFFFF"/>
          <w:lang w:eastAsia="da-DK"/>
        </w:rPr>
        <w:t>indeni</w:t>
      </w:r>
      <w:proofErr w:type="gramEnd"/>
      <w:r w:rsidRPr="00B12956">
        <w:rPr>
          <w:rFonts w:eastAsia="Times New Roman" w:cstheme="minorHAnsi"/>
          <w:color w:val="000000"/>
          <w:shd w:val="clear" w:color="auto" w:fill="FFFFFF"/>
          <w:lang w:eastAsia="da-DK"/>
        </w:rPr>
        <w:t xml:space="preserve"> mennesket.</w:t>
      </w:r>
    </w:p>
    <w:sectPr w:rsidR="0044459B" w:rsidRPr="00B129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7D0"/>
    <w:multiLevelType w:val="multilevel"/>
    <w:tmpl w:val="7DF4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81D02"/>
    <w:multiLevelType w:val="multilevel"/>
    <w:tmpl w:val="F550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D5776"/>
    <w:multiLevelType w:val="multilevel"/>
    <w:tmpl w:val="3566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D5E12"/>
    <w:multiLevelType w:val="multilevel"/>
    <w:tmpl w:val="63B4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56"/>
    <w:rsid w:val="0044459B"/>
    <w:rsid w:val="00940D03"/>
    <w:rsid w:val="00B12956"/>
    <w:rsid w:val="00D110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E681"/>
  <w15:chartTrackingRefBased/>
  <w15:docId w15:val="{591B9D56-EA50-471D-B31E-B37E64EE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129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1295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2956"/>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12956"/>
    <w:rPr>
      <w:rFonts w:ascii="Times New Roman" w:eastAsia="Times New Roman" w:hAnsi="Times New Roman" w:cs="Times New Roman"/>
      <w:b/>
      <w:bCs/>
      <w:sz w:val="27"/>
      <w:szCs w:val="27"/>
      <w:lang w:eastAsia="da-DK"/>
    </w:rPr>
  </w:style>
  <w:style w:type="character" w:styleId="Fremhv">
    <w:name w:val="Emphasis"/>
    <w:basedOn w:val="Standardskrifttypeiafsnit"/>
    <w:uiPriority w:val="20"/>
    <w:qFormat/>
    <w:rsid w:val="00B12956"/>
    <w:rPr>
      <w:i/>
      <w:iCs/>
    </w:rPr>
  </w:style>
  <w:style w:type="character" w:styleId="Hyperlink">
    <w:name w:val="Hyperlink"/>
    <w:basedOn w:val="Standardskrifttypeiafsnit"/>
    <w:uiPriority w:val="99"/>
    <w:semiHidden/>
    <w:unhideWhenUsed/>
    <w:rsid w:val="00B12956"/>
    <w:rPr>
      <w:color w:val="0000FF"/>
      <w:u w:val="single"/>
    </w:rPr>
  </w:style>
  <w:style w:type="character" w:styleId="Strk">
    <w:name w:val="Strong"/>
    <w:basedOn w:val="Standardskrifttypeiafsnit"/>
    <w:uiPriority w:val="22"/>
    <w:qFormat/>
    <w:rsid w:val="00B12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81645">
      <w:bodyDiv w:val="1"/>
      <w:marLeft w:val="0"/>
      <w:marRight w:val="0"/>
      <w:marTop w:val="0"/>
      <w:marBottom w:val="0"/>
      <w:divBdr>
        <w:top w:val="none" w:sz="0" w:space="0" w:color="auto"/>
        <w:left w:val="none" w:sz="0" w:space="0" w:color="auto"/>
        <w:bottom w:val="none" w:sz="0" w:space="0" w:color="auto"/>
        <w:right w:val="none" w:sz="0" w:space="0" w:color="auto"/>
      </w:divBdr>
      <w:divsChild>
        <w:div w:id="775952047">
          <w:marLeft w:val="0"/>
          <w:marRight w:val="0"/>
          <w:marTop w:val="300"/>
          <w:marBottom w:val="300"/>
          <w:divBdr>
            <w:top w:val="single" w:sz="6" w:space="15" w:color="D3D3D3"/>
            <w:left w:val="single" w:sz="6" w:space="15" w:color="D3D3D3"/>
            <w:bottom w:val="single" w:sz="6" w:space="15" w:color="D3D3D3"/>
            <w:right w:val="single" w:sz="6" w:space="15" w:color="D3D3D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opslag('legere','inter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1038</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Bladt Andersen</dc:creator>
  <cp:keywords/>
  <dc:description/>
  <cp:lastModifiedBy>Lise Bladt Andersen</cp:lastModifiedBy>
  <cp:revision>2</cp:revision>
  <dcterms:created xsi:type="dcterms:W3CDTF">2018-02-25T10:08:00Z</dcterms:created>
  <dcterms:modified xsi:type="dcterms:W3CDTF">2018-02-25T10:55:00Z</dcterms:modified>
</cp:coreProperties>
</file>