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A41E" w14:textId="6F3FF5E2" w:rsidR="00A04837" w:rsidRDefault="003025D8" w:rsidP="00057105">
      <w:pPr>
        <w:pBdr>
          <w:top w:val="single" w:sz="4" w:space="1" w:color="auto"/>
          <w:left w:val="single" w:sz="4" w:space="4" w:color="auto"/>
          <w:bottom w:val="single" w:sz="4" w:space="1" w:color="auto"/>
          <w:right w:val="single" w:sz="4" w:space="4" w:color="auto"/>
        </w:pBdr>
        <w:shd w:val="clear" w:color="auto" w:fill="FFCCCC"/>
        <w:jc w:val="center"/>
        <w:rPr>
          <w:sz w:val="44"/>
          <w:szCs w:val="44"/>
        </w:rPr>
      </w:pPr>
      <w:r w:rsidRPr="003025D8">
        <w:rPr>
          <w:sz w:val="44"/>
          <w:szCs w:val="44"/>
        </w:rPr>
        <w:t>Hvem taler vi om?</w:t>
      </w:r>
    </w:p>
    <w:p w14:paraId="566F5293" w14:textId="5AB7AC12" w:rsidR="003025D8" w:rsidRPr="003025D8" w:rsidRDefault="003025D8" w:rsidP="00057105">
      <w:pPr>
        <w:pBdr>
          <w:top w:val="single" w:sz="4" w:space="1" w:color="auto"/>
          <w:left w:val="single" w:sz="4" w:space="4" w:color="auto"/>
          <w:bottom w:val="single" w:sz="4" w:space="1" w:color="auto"/>
          <w:right w:val="single" w:sz="4" w:space="4" w:color="auto"/>
        </w:pBdr>
        <w:shd w:val="clear" w:color="auto" w:fill="FFCCCC"/>
        <w:jc w:val="center"/>
        <w:rPr>
          <w:sz w:val="36"/>
          <w:szCs w:val="36"/>
        </w:rPr>
      </w:pPr>
      <w:r w:rsidRPr="003025D8">
        <w:rPr>
          <w:sz w:val="36"/>
          <w:szCs w:val="36"/>
        </w:rPr>
        <w:t>Om farisæere, skriftkloge og toldere</w:t>
      </w:r>
    </w:p>
    <w:p w14:paraId="24B815AB" w14:textId="65B34ED3" w:rsidR="003025D8" w:rsidRPr="005E2057" w:rsidRDefault="003025D8" w:rsidP="003025D8">
      <w:pPr>
        <w:rPr>
          <w:b/>
        </w:rPr>
      </w:pPr>
      <w:r w:rsidRPr="005E2057">
        <w:t>Her nedenfor følger tre opslag fra Gads religionsleksikon på nettet</w:t>
      </w:r>
      <w:r w:rsidRPr="005E2057">
        <w:rPr>
          <w:b/>
        </w:rPr>
        <w:t xml:space="preserve"> </w:t>
      </w:r>
    </w:p>
    <w:p w14:paraId="49AB4058" w14:textId="76CA6103" w:rsidR="003025D8" w:rsidRDefault="003025D8" w:rsidP="003025D8">
      <w:pPr>
        <w:rPr>
          <w:rFonts w:ascii="Cambria" w:hAnsi="Cambria"/>
        </w:rPr>
      </w:pPr>
      <w:hyperlink r:id="rId4" w:history="1">
        <w:r w:rsidRPr="009C23F0">
          <w:rPr>
            <w:rStyle w:val="Hyperlink"/>
            <w:rFonts w:ascii="Cambria" w:hAnsi="Cambria"/>
          </w:rPr>
          <w:t>https://www.relig</w:t>
        </w:r>
        <w:r w:rsidRPr="009C23F0">
          <w:rPr>
            <w:rStyle w:val="Hyperlink"/>
            <w:rFonts w:ascii="Cambria" w:hAnsi="Cambria"/>
          </w:rPr>
          <w:t>i</w:t>
        </w:r>
        <w:r w:rsidRPr="009C23F0">
          <w:rPr>
            <w:rStyle w:val="Hyperlink"/>
            <w:rFonts w:ascii="Cambria" w:hAnsi="Cambria"/>
          </w:rPr>
          <w:t>on.dk/leksikon</w:t>
        </w:r>
      </w:hyperlink>
    </w:p>
    <w:p w14:paraId="4D767615" w14:textId="77777777" w:rsidR="003025D8" w:rsidRDefault="003025D8" w:rsidP="003025D8">
      <w:pPr>
        <w:rPr>
          <w:rFonts w:ascii="Cambria" w:hAnsi="Cambria"/>
        </w:rPr>
      </w:pPr>
    </w:p>
    <w:p w14:paraId="45240D40" w14:textId="52C0CDFD" w:rsidR="003025D8" w:rsidRPr="005E2057" w:rsidRDefault="003025D8" w:rsidP="003025D8">
      <w:pPr>
        <w:rPr>
          <w:rFonts w:ascii="Cambria" w:hAnsi="Cambria"/>
        </w:rPr>
      </w:pPr>
      <w:r w:rsidRPr="005E2057">
        <w:rPr>
          <w:rFonts w:ascii="Cambria" w:hAnsi="Cambria"/>
        </w:rPr>
        <w:t>De forklarer tre grupper (farisæere, skriftkloge og toldere) som ofte optræder i evangelierne i Det Ny Testamente.</w:t>
      </w:r>
      <w:r>
        <w:rPr>
          <w:rFonts w:ascii="Cambria" w:hAnsi="Cambria"/>
        </w:rPr>
        <w:t xml:space="preserve"> Det er vigtigt at kende noget til disse grupper, for at forstå teksterne i evangelierne.</w:t>
      </w:r>
    </w:p>
    <w:p w14:paraId="0BBE2F5A" w14:textId="77777777" w:rsidR="003025D8" w:rsidRDefault="003025D8" w:rsidP="003025D8"/>
    <w:p w14:paraId="131D18B5" w14:textId="05904BF2" w:rsidR="003025D8" w:rsidRPr="003025D8" w:rsidRDefault="003025D8" w:rsidP="003025D8">
      <w:pPr>
        <w:rPr>
          <w:b/>
          <w:bCs/>
        </w:rPr>
      </w:pPr>
      <w:r w:rsidRPr="003025D8">
        <w:rPr>
          <w:b/>
          <w:bCs/>
        </w:rPr>
        <w:t>Farisæere</w:t>
      </w:r>
    </w:p>
    <w:p w14:paraId="5E49A408" w14:textId="77777777" w:rsidR="003025D8" w:rsidRPr="005E2057" w:rsidRDefault="003025D8" w:rsidP="003025D8">
      <w:pPr>
        <w:rPr>
          <w:rFonts w:ascii="Cambria" w:hAnsi="Cambria"/>
        </w:rPr>
      </w:pPr>
      <w:r w:rsidRPr="005E2057">
        <w:rPr>
          <w:rFonts w:ascii="Cambria" w:hAnsi="Cambria"/>
        </w:rPr>
        <w:t>De udskilte. Navnet på en af de vigtigste jødiske retninger på Jesu tid. Efter Jerusalems fald i 70 e.v.t. fik de afgørende indflydelse på udviklingen af rabbinsk jødedom.</w:t>
      </w:r>
    </w:p>
    <w:p w14:paraId="4A269D4C" w14:textId="77777777" w:rsidR="003025D8" w:rsidRPr="005E2057" w:rsidRDefault="003025D8" w:rsidP="003025D8">
      <w:pPr>
        <w:rPr>
          <w:rFonts w:ascii="Cambria" w:hAnsi="Cambria"/>
        </w:rPr>
      </w:pPr>
      <w:r w:rsidRPr="005E2057">
        <w:rPr>
          <w:rFonts w:ascii="Cambria" w:hAnsi="Cambria"/>
        </w:rPr>
        <w:t xml:space="preserve">Farisæerne var kendetegnet ved, at de lagde stor vægt på overholdelse af Moseloven, særlig renhedsforskrifterne. Foruden loven tillagde farisæerne også "fædrenes overleveringer", der indeholdt udlægninger af loven, stor betydning. På den baggrund kommer den farisæiske etik til at fremtræde med mange detaljerede forskrifter, baseret på konkrete tilfælde. Evangeliernes beskrivelse af farisæerne som hykleriske pedanter er dog givetvis </w:t>
      </w:r>
      <w:proofErr w:type="gramStart"/>
      <w:r w:rsidRPr="005E2057">
        <w:rPr>
          <w:rFonts w:ascii="Cambria" w:hAnsi="Cambria"/>
        </w:rPr>
        <w:t>uretfærdig</w:t>
      </w:r>
      <w:proofErr w:type="gramEnd"/>
      <w:r w:rsidRPr="005E2057">
        <w:rPr>
          <w:rFonts w:ascii="Cambria" w:hAnsi="Cambria"/>
        </w:rPr>
        <w:t xml:space="preserve"> og må ses på baggrund af de kristnes tendentiøse skildring af datidens jødedom.</w:t>
      </w:r>
    </w:p>
    <w:p w14:paraId="466D5702" w14:textId="77777777" w:rsidR="003025D8" w:rsidRPr="005E2057" w:rsidRDefault="003025D8" w:rsidP="003025D8">
      <w:pPr>
        <w:rPr>
          <w:rFonts w:ascii="Cambria" w:hAnsi="Cambria"/>
        </w:rPr>
      </w:pPr>
      <w:r w:rsidRPr="005E2057">
        <w:rPr>
          <w:rFonts w:ascii="Cambria" w:hAnsi="Cambria"/>
        </w:rPr>
        <w:t>Farisæerne havde på Jesu tid størst udbredelse i middelstanden og indtog en passiv holdning til den romerske besættelsesmagt, idet okkupationen blev betragtet som en lidelse, folket måtte bære på grund af dets synd. </w:t>
      </w:r>
      <w:hyperlink r:id="rId5" w:history="1">
        <w:r w:rsidRPr="005E2057">
          <w:rPr>
            <w:rStyle w:val="Hyperlink"/>
            <w:rFonts w:ascii="Cambria" w:hAnsi="Cambria" w:cs="Arial"/>
            <w:i/>
            <w:iCs/>
          </w:rPr>
          <w:t>BT</w:t>
        </w:r>
      </w:hyperlink>
    </w:p>
    <w:p w14:paraId="051B9F5F" w14:textId="77777777" w:rsidR="003025D8" w:rsidRDefault="003025D8" w:rsidP="003025D8">
      <w:pPr>
        <w:rPr>
          <w:b/>
          <w:bCs/>
        </w:rPr>
      </w:pPr>
    </w:p>
    <w:p w14:paraId="6BAFBEDE" w14:textId="2AE3ED84" w:rsidR="003025D8" w:rsidRPr="003025D8" w:rsidRDefault="003025D8" w:rsidP="003025D8">
      <w:pPr>
        <w:rPr>
          <w:b/>
          <w:bCs/>
        </w:rPr>
      </w:pPr>
      <w:r w:rsidRPr="003025D8">
        <w:rPr>
          <w:b/>
          <w:bCs/>
        </w:rPr>
        <w:t>Skriftklog</w:t>
      </w:r>
    </w:p>
    <w:p w14:paraId="503A2E01" w14:textId="77777777" w:rsidR="003025D8" w:rsidRPr="005E2057" w:rsidRDefault="003025D8" w:rsidP="003025D8">
      <w:pPr>
        <w:rPr>
          <w:rFonts w:ascii="Cambria" w:hAnsi="Cambria"/>
        </w:rPr>
      </w:pPr>
      <w:r w:rsidRPr="005E2057">
        <w:rPr>
          <w:rFonts w:ascii="Cambria" w:hAnsi="Cambria"/>
        </w:rPr>
        <w:t>Betegnelse for den stand af professionelle skriftfortolkere som opstår i jødedommen efter det babyloniske eksil (587-539 f.v.t.). I kraft af, at studiet af loven stod særlig centralt i de skriftkloges arbejde, fik de en position som både teologiske og juridiske eksperter.</w:t>
      </w:r>
    </w:p>
    <w:p w14:paraId="6303B0CE" w14:textId="77777777" w:rsidR="003025D8" w:rsidRPr="005E2057" w:rsidRDefault="003025D8" w:rsidP="003025D8">
      <w:pPr>
        <w:rPr>
          <w:rFonts w:ascii="Cambria" w:hAnsi="Cambria"/>
        </w:rPr>
      </w:pPr>
      <w:r w:rsidRPr="005E2057">
        <w:rPr>
          <w:rFonts w:ascii="Cambria" w:hAnsi="Cambria"/>
        </w:rPr>
        <w:t>De skriftkloge er ikke en religiøs retning i lighed med farisæerne eller saddukæerne, men en erhvervsgruppe. I øvrigt hørte mange af de skriftkloge til farisæernes parti, hvorfor de i Det Nye Testamente ofte skildres som Jesu hovedmodstandere sammen med farisæerne. I almindelighed havde de skriftkloge et arbejde (ofte et håndværk) til livets underhold. Allerede på Jesu tid brugtes betegnelsen rabbiner om en skriftklog af farisæisk observans. </w:t>
      </w:r>
      <w:hyperlink r:id="rId6" w:history="1">
        <w:r w:rsidRPr="005E2057">
          <w:rPr>
            <w:rStyle w:val="Hyperlink"/>
            <w:rFonts w:ascii="Cambria" w:hAnsi="Cambria" w:cs="Arial"/>
            <w:i/>
            <w:iCs/>
          </w:rPr>
          <w:t>BT</w:t>
        </w:r>
      </w:hyperlink>
    </w:p>
    <w:p w14:paraId="7D4BB146" w14:textId="77777777" w:rsidR="003025D8" w:rsidRDefault="003025D8" w:rsidP="003025D8">
      <w:pPr>
        <w:rPr>
          <w:b/>
          <w:bCs/>
        </w:rPr>
      </w:pPr>
    </w:p>
    <w:p w14:paraId="1FA2C3E0" w14:textId="0FBDBEC1" w:rsidR="003025D8" w:rsidRPr="003025D8" w:rsidRDefault="003025D8" w:rsidP="003025D8">
      <w:pPr>
        <w:rPr>
          <w:b/>
          <w:bCs/>
        </w:rPr>
      </w:pPr>
      <w:r w:rsidRPr="003025D8">
        <w:rPr>
          <w:b/>
          <w:bCs/>
        </w:rPr>
        <w:t>Toldere</w:t>
      </w:r>
    </w:p>
    <w:p w14:paraId="4AE6B3C5" w14:textId="2ACDA2CA" w:rsidR="003025D8" w:rsidRPr="005E3AE5" w:rsidRDefault="003025D8" w:rsidP="003025D8">
      <w:pPr>
        <w:rPr>
          <w:rFonts w:ascii="Cambria" w:hAnsi="Cambria"/>
          <w:b/>
        </w:rPr>
      </w:pPr>
      <w:r w:rsidRPr="005E2057">
        <w:rPr>
          <w:rFonts w:ascii="Cambria" w:hAnsi="Cambria"/>
        </w:rPr>
        <w:t>På Jesu tid havde den romerske besættelsesmagt i Palæstina ansat toldere til at opkræve transitafgift i forbindelse med handel mellem den nordlige og sydlige del af Palæstina. Disse toldere så farisæerne på med foragt, fordi de gik romernes ærinde. Jesus provokerede sine omgivelser ved at tage sig af både dem og andre, der var stemplet som "syndere" </w:t>
      </w:r>
      <w:hyperlink r:id="rId7" w:history="1">
        <w:r w:rsidRPr="005E2057">
          <w:rPr>
            <w:rStyle w:val="Hyperlink"/>
            <w:rFonts w:ascii="Cambria" w:hAnsi="Cambria" w:cs="Arial"/>
            <w:i/>
            <w:iCs/>
            <w:sz w:val="24"/>
            <w:szCs w:val="24"/>
          </w:rPr>
          <w:t>BT</w:t>
        </w:r>
      </w:hyperlink>
    </w:p>
    <w:sectPr w:rsidR="003025D8" w:rsidRPr="005E3AE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D8"/>
    <w:rsid w:val="00057105"/>
    <w:rsid w:val="00071B0D"/>
    <w:rsid w:val="002120B7"/>
    <w:rsid w:val="003025D8"/>
    <w:rsid w:val="004654F3"/>
    <w:rsid w:val="005E3AE5"/>
    <w:rsid w:val="009A2DE8"/>
    <w:rsid w:val="00A04837"/>
    <w:rsid w:val="00BC36CC"/>
    <w:rsid w:val="00CB2F4C"/>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2AF1"/>
  <w15:chartTrackingRefBased/>
  <w15:docId w15:val="{50B1782A-7245-4C74-9D30-E7CE2C2F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302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02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025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025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025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025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25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25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25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025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025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025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025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025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025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25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25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25D8"/>
    <w:rPr>
      <w:rFonts w:eastAsiaTheme="majorEastAsia" w:cstheme="majorBidi"/>
      <w:color w:val="272727" w:themeColor="text1" w:themeTint="D8"/>
    </w:rPr>
  </w:style>
  <w:style w:type="paragraph" w:styleId="Titel">
    <w:name w:val="Title"/>
    <w:basedOn w:val="Normal"/>
    <w:next w:val="Normal"/>
    <w:link w:val="TitelTegn"/>
    <w:uiPriority w:val="10"/>
    <w:qFormat/>
    <w:rsid w:val="0030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25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25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25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25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25D8"/>
    <w:rPr>
      <w:i/>
      <w:iCs/>
      <w:color w:val="404040" w:themeColor="text1" w:themeTint="BF"/>
    </w:rPr>
  </w:style>
  <w:style w:type="paragraph" w:styleId="Listeafsnit">
    <w:name w:val="List Paragraph"/>
    <w:basedOn w:val="Normal"/>
    <w:uiPriority w:val="34"/>
    <w:qFormat/>
    <w:rsid w:val="003025D8"/>
    <w:pPr>
      <w:ind w:left="720"/>
      <w:contextualSpacing/>
    </w:pPr>
  </w:style>
  <w:style w:type="character" w:styleId="Kraftigfremhvning">
    <w:name w:val="Intense Emphasis"/>
    <w:basedOn w:val="Standardskrifttypeiafsnit"/>
    <w:uiPriority w:val="21"/>
    <w:qFormat/>
    <w:rsid w:val="003025D8"/>
    <w:rPr>
      <w:i/>
      <w:iCs/>
      <w:color w:val="0F4761" w:themeColor="accent1" w:themeShade="BF"/>
    </w:rPr>
  </w:style>
  <w:style w:type="paragraph" w:styleId="Strktcitat">
    <w:name w:val="Intense Quote"/>
    <w:basedOn w:val="Normal"/>
    <w:next w:val="Normal"/>
    <w:link w:val="StrktcitatTegn"/>
    <w:uiPriority w:val="30"/>
    <w:qFormat/>
    <w:rsid w:val="00302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025D8"/>
    <w:rPr>
      <w:i/>
      <w:iCs/>
      <w:color w:val="0F4761" w:themeColor="accent1" w:themeShade="BF"/>
    </w:rPr>
  </w:style>
  <w:style w:type="character" w:styleId="Kraftighenvisning">
    <w:name w:val="Intense Reference"/>
    <w:basedOn w:val="Standardskrifttypeiafsnit"/>
    <w:uiPriority w:val="32"/>
    <w:qFormat/>
    <w:rsid w:val="003025D8"/>
    <w:rPr>
      <w:b/>
      <w:bCs/>
      <w:smallCaps/>
      <w:color w:val="0F4761" w:themeColor="accent1" w:themeShade="BF"/>
      <w:spacing w:val="5"/>
    </w:rPr>
  </w:style>
  <w:style w:type="character" w:styleId="Hyperlink">
    <w:name w:val="Hyperlink"/>
    <w:rsid w:val="003025D8"/>
    <w:rPr>
      <w:color w:val="0000FF"/>
      <w:u w:val="single"/>
    </w:rPr>
  </w:style>
  <w:style w:type="paragraph" w:styleId="NormalWeb">
    <w:name w:val="Normal (Web)"/>
    <w:basedOn w:val="Normal"/>
    <w:uiPriority w:val="99"/>
    <w:rsid w:val="003025D8"/>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BesgtLink">
    <w:name w:val="FollowedHyperlink"/>
    <w:basedOn w:val="Standardskrifttypeiafsnit"/>
    <w:uiPriority w:val="99"/>
    <w:semiHidden/>
    <w:unhideWhenUsed/>
    <w:rsid w:val="003025D8"/>
    <w:rPr>
      <w:color w:val="96607D" w:themeColor="followedHyperlink"/>
      <w:u w:val="single"/>
    </w:rPr>
  </w:style>
  <w:style w:type="character" w:styleId="Ulstomtale">
    <w:name w:val="Unresolved Mention"/>
    <w:basedOn w:val="Standardskrifttypeiafsnit"/>
    <w:uiPriority w:val="99"/>
    <w:semiHidden/>
    <w:unhideWhenUsed/>
    <w:rsid w:val="0030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ksikon.religion.dk/author.htm?a=B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ksikon.religion.dk/author.htm?a=BT" TargetMode="External"/><Relationship Id="rId5" Type="http://schemas.openxmlformats.org/officeDocument/2006/relationships/hyperlink" Target="http://leksikon.religion.dk/author.htm?a=BT" TargetMode="External"/><Relationship Id="rId4" Type="http://schemas.openxmlformats.org/officeDocument/2006/relationships/hyperlink" Target="https://www.religion.dk/leksikon"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2245</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3</cp:revision>
  <dcterms:created xsi:type="dcterms:W3CDTF">2025-11-18T12:06:00Z</dcterms:created>
  <dcterms:modified xsi:type="dcterms:W3CDTF">2025-11-18T12:14:00Z</dcterms:modified>
</cp:coreProperties>
</file>