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A056B" w14:textId="77777777" w:rsidR="00293C0E" w:rsidRPr="00BE0B06" w:rsidRDefault="0023302E" w:rsidP="0023302E">
      <w:pPr>
        <w:pStyle w:val="Titel"/>
        <w:rPr>
          <w:b/>
        </w:rPr>
      </w:pPr>
      <w:r>
        <w:t>Gelelektroforese - detektion af gen for seglcelleanæmi</w:t>
      </w:r>
    </w:p>
    <w:p w14:paraId="55AEA745" w14:textId="77777777" w:rsidR="0023302E" w:rsidRDefault="0023302E" w:rsidP="0023302E">
      <w:pPr>
        <w:pStyle w:val="Overskrift2"/>
      </w:pPr>
      <w:r>
        <w:t>Formål</w:t>
      </w:r>
    </w:p>
    <w:p w14:paraId="2853F442" w14:textId="77777777" w:rsidR="0023302E" w:rsidRPr="0023302E" w:rsidRDefault="0023302E" w:rsidP="0023302E">
      <w:r>
        <w:t>Formålet med forsøget, er at analysere forskellige DNA-prøver, for forekomsten af genet for seglcelleanæmi. Analysen foretages vha. gelelektroforese, hvor DNA-stykker med forskellig længde adskilles.</w:t>
      </w:r>
    </w:p>
    <w:p w14:paraId="37CE5AEC" w14:textId="77777777" w:rsidR="0023302E" w:rsidRDefault="0023302E" w:rsidP="0023302E">
      <w:pPr>
        <w:pStyle w:val="Overskrift2"/>
      </w:pPr>
      <w:r>
        <w:t>Indledning</w:t>
      </w:r>
    </w:p>
    <w:p w14:paraId="5292C06F" w14:textId="77777777" w:rsidR="00E0050C" w:rsidRDefault="00404349" w:rsidP="00404349">
      <w:pPr>
        <w:spacing w:after="0"/>
      </w:pPr>
      <w:r>
        <w:t xml:space="preserve">Seglcelleanæmi er en arvelig sygdom, der bevirker at personens blodceller antager form som et segl, når koncentrationen af oxygen er lav. Personer med seglcelleanæmi kan ikke danne hæmoglobin af typen </w:t>
      </w:r>
    </w:p>
    <w:p w14:paraId="306C8BEC" w14:textId="40891BAF" w:rsidR="00446854" w:rsidRDefault="00404349" w:rsidP="00404349">
      <w:pPr>
        <w:spacing w:after="0"/>
      </w:pPr>
      <w:r>
        <w:t>Hb</w:t>
      </w:r>
      <w:r w:rsidR="00446854">
        <w:t>-</w:t>
      </w:r>
      <w:r>
        <w:t>A</w:t>
      </w:r>
      <w:r w:rsidR="00446854">
        <w:rPr>
          <w:rStyle w:val="Fodnotehenvisning"/>
        </w:rPr>
        <w:footnoteReference w:id="1"/>
      </w:r>
      <w:r w:rsidR="00446854">
        <w:t>. I</w:t>
      </w:r>
      <w:r>
        <w:t xml:space="preserve"> stedet dannes der et defekt hæmoglobin kaldet Hb</w:t>
      </w:r>
      <w:r w:rsidR="00446854">
        <w:t>-</w:t>
      </w:r>
      <w:r>
        <w:t xml:space="preserve">S. </w:t>
      </w:r>
      <w:r w:rsidR="00446854">
        <w:t>Den mest almindelige form for hæmoglobin</w:t>
      </w:r>
      <w:r w:rsidR="00E0050C">
        <w:t xml:space="preserve"> (Hb-A)</w:t>
      </w:r>
      <w:r w:rsidR="00446854">
        <w:t>, består af 4 polypeptidkæder</w:t>
      </w:r>
      <w:r w:rsidR="00E0050C">
        <w:t>:</w:t>
      </w:r>
      <w:r w:rsidR="00446854">
        <w:t xml:space="preserve"> 2 </w:t>
      </w:r>
      <w:r w:rsidR="00446854">
        <w:rPr>
          <w:rFonts w:cstheme="minorHAnsi"/>
        </w:rPr>
        <w:t>α-kæder</w:t>
      </w:r>
      <w:r w:rsidR="00E0050C">
        <w:rPr>
          <w:rStyle w:val="Fodnotehenvisning"/>
          <w:rFonts w:cstheme="minorHAnsi"/>
        </w:rPr>
        <w:footnoteReference w:id="2"/>
      </w:r>
      <w:r w:rsidR="00446854">
        <w:rPr>
          <w:rFonts w:cstheme="minorHAnsi"/>
        </w:rPr>
        <w:t xml:space="preserve"> og 2 β-kæder</w:t>
      </w:r>
      <w:r w:rsidR="00E0050C">
        <w:rPr>
          <w:rStyle w:val="Fodnotehenvisning"/>
          <w:rFonts w:cstheme="minorHAnsi"/>
        </w:rPr>
        <w:footnoteReference w:id="3"/>
      </w:r>
      <w:r w:rsidR="00446854">
        <w:rPr>
          <w:rFonts w:cstheme="minorHAnsi"/>
        </w:rPr>
        <w:t xml:space="preserve">. </w:t>
      </w:r>
      <w:r w:rsidR="00446854">
        <w:t>Fejlen i genet for hæmoglobin skyldes en punktmutation i det gen, der koder for β-kæden (</w:t>
      </w:r>
      <w:r w:rsidR="00446854">
        <w:rPr>
          <w:rFonts w:cstheme="minorHAnsi"/>
        </w:rPr>
        <w:t>β</w:t>
      </w:r>
      <w:r w:rsidR="00446854">
        <w:t>-chain på figur 1)</w:t>
      </w:r>
      <w:r w:rsidR="00E0050C">
        <w:t xml:space="preserve">. Genet, som koder for den normale udgave af </w:t>
      </w:r>
      <w:r w:rsidR="00E0050C">
        <w:rPr>
          <w:rFonts w:cstheme="minorHAnsi"/>
        </w:rPr>
        <w:t>β-kæde</w:t>
      </w:r>
      <w:r w:rsidR="00E0050C">
        <w:rPr>
          <w:rFonts w:cstheme="minorHAnsi"/>
        </w:rPr>
        <w:t xml:space="preserve">n, kaldes </w:t>
      </w:r>
      <w:r w:rsidR="00E0050C">
        <w:rPr>
          <w:rFonts w:cstheme="minorHAnsi"/>
        </w:rPr>
        <w:t>β</w:t>
      </w:r>
      <w:r w:rsidR="00E0050C">
        <w:rPr>
          <w:rFonts w:cstheme="minorHAnsi"/>
          <w:vertAlign w:val="superscript"/>
        </w:rPr>
        <w:t>A</w:t>
      </w:r>
      <w:r w:rsidR="00E0050C">
        <w:rPr>
          <w:rFonts w:cstheme="minorHAnsi"/>
        </w:rPr>
        <w:t xml:space="preserve">, mens det muterede gen kaldes </w:t>
      </w:r>
      <w:r w:rsidR="00E0050C">
        <w:rPr>
          <w:rFonts w:cstheme="minorHAnsi"/>
        </w:rPr>
        <w:t>β</w:t>
      </w:r>
      <w:r w:rsidR="00E0050C">
        <w:rPr>
          <w:rFonts w:cstheme="minorHAnsi"/>
          <w:vertAlign w:val="superscript"/>
        </w:rPr>
        <w:t>S</w:t>
      </w:r>
      <w:r w:rsidR="00E0050C">
        <w:rPr>
          <w:rFonts w:cstheme="minorHAnsi"/>
        </w:rPr>
        <w:t>.</w:t>
      </w:r>
    </w:p>
    <w:p w14:paraId="0282EC80" w14:textId="26D7B936" w:rsidR="00404349" w:rsidRPr="00E0050C" w:rsidRDefault="00404349" w:rsidP="00404349">
      <w:pPr>
        <w:spacing w:after="0"/>
      </w:pPr>
      <w:r>
        <w:t xml:space="preserve">Seglcelleanæmi kommer kun til udtryk hos personer der er homozygote </w:t>
      </w:r>
      <w:r w:rsidR="00E0050C">
        <w:t xml:space="preserve">mht. genfejlen </w:t>
      </w:r>
      <w:r>
        <w:t>(</w:t>
      </w:r>
      <w:r w:rsidR="00E0050C">
        <w:rPr>
          <w:rFonts w:cstheme="minorHAnsi"/>
        </w:rPr>
        <w:t>β</w:t>
      </w:r>
      <w:r w:rsidR="00E0050C">
        <w:rPr>
          <w:rFonts w:cstheme="minorHAnsi"/>
          <w:vertAlign w:val="superscript"/>
        </w:rPr>
        <w:t>S</w:t>
      </w:r>
      <w:r w:rsidR="00E0050C">
        <w:rPr>
          <w:rFonts w:cstheme="minorHAnsi"/>
        </w:rPr>
        <w:t>β</w:t>
      </w:r>
      <w:r w:rsidR="00E0050C">
        <w:rPr>
          <w:rFonts w:cstheme="minorHAnsi"/>
          <w:vertAlign w:val="superscript"/>
        </w:rPr>
        <w:t>S</w:t>
      </w:r>
      <w:r>
        <w:t>). Hos personer der er h</w:t>
      </w:r>
      <w:r w:rsidR="00E32DA7">
        <w:t>eterozygote (</w:t>
      </w:r>
      <w:r w:rsidR="00E0050C">
        <w:rPr>
          <w:rFonts w:cstheme="minorHAnsi"/>
        </w:rPr>
        <w:t>β</w:t>
      </w:r>
      <w:r w:rsidR="00E0050C">
        <w:rPr>
          <w:rFonts w:cstheme="minorHAnsi"/>
          <w:vertAlign w:val="superscript"/>
        </w:rPr>
        <w:t>A</w:t>
      </w:r>
      <w:r w:rsidR="00E0050C">
        <w:rPr>
          <w:rFonts w:cstheme="minorHAnsi"/>
        </w:rPr>
        <w:t>β</w:t>
      </w:r>
      <w:r w:rsidR="00E0050C">
        <w:rPr>
          <w:rFonts w:cstheme="minorHAnsi"/>
          <w:vertAlign w:val="superscript"/>
        </w:rPr>
        <w:t>S</w:t>
      </w:r>
      <w:r>
        <w:t>) ses kun det man kalder seglcelletræk idet generne er codominante</w:t>
      </w:r>
      <w:r w:rsidR="00E0050C">
        <w:t>.</w:t>
      </w:r>
      <w:r>
        <w:t xml:space="preserve"> </w:t>
      </w:r>
      <w:r w:rsidR="00E0050C">
        <w:t>Normale personer er homozygote mht. det normale gen (</w:t>
      </w:r>
      <w:r w:rsidR="00E0050C">
        <w:rPr>
          <w:rFonts w:cstheme="minorHAnsi"/>
        </w:rPr>
        <w:t>β</w:t>
      </w:r>
      <w:r w:rsidR="00E0050C">
        <w:rPr>
          <w:rFonts w:cstheme="minorHAnsi"/>
          <w:vertAlign w:val="superscript"/>
        </w:rPr>
        <w:t>A</w:t>
      </w:r>
      <w:r w:rsidR="00E0050C">
        <w:rPr>
          <w:rFonts w:cstheme="minorHAnsi"/>
        </w:rPr>
        <w:t>β</w:t>
      </w:r>
      <w:r w:rsidR="00E0050C">
        <w:rPr>
          <w:rFonts w:cstheme="minorHAnsi"/>
          <w:vertAlign w:val="superscript"/>
        </w:rPr>
        <w:t>A</w:t>
      </w:r>
      <w:r w:rsidR="00E0050C">
        <w:rPr>
          <w:rFonts w:cstheme="minorHAnsi"/>
        </w:rPr>
        <w:t>).</w:t>
      </w:r>
    </w:p>
    <w:p w14:paraId="73B79907" w14:textId="77777777" w:rsidR="00E32DA7" w:rsidRDefault="00E32DA7" w:rsidP="00404349">
      <w:pPr>
        <w:spacing w:after="0"/>
      </w:pPr>
    </w:p>
    <w:p w14:paraId="65769A07" w14:textId="77777777" w:rsidR="00404349" w:rsidRDefault="00404349" w:rsidP="00404349">
      <w:pPr>
        <w:keepNext/>
        <w:spacing w:after="0"/>
      </w:pPr>
      <w:r>
        <w:rPr>
          <w:noProof/>
          <w:lang w:eastAsia="da-DK"/>
        </w:rPr>
        <w:drawing>
          <wp:inline distT="0" distB="0" distL="0" distR="0" wp14:anchorId="09240C36" wp14:editId="46F5363A">
            <wp:extent cx="3267031" cy="2584634"/>
            <wp:effectExtent l="0" t="0" r="0" b="6350"/>
            <wp:docPr id="3" name="Billede 3" descr="Billedresultat for hemoglobin stru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edresultat for hemoglobin stru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141" cy="2584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FF276" w14:textId="77777777" w:rsidR="00345AD2" w:rsidRDefault="00404349" w:rsidP="00345AD2">
      <w:pPr>
        <w:pStyle w:val="Billedtekst"/>
        <w:spacing w:after="0"/>
      </w:pPr>
      <w:r>
        <w:t xml:space="preserve">Figur </w:t>
      </w:r>
      <w:fldSimple w:instr=" SEQ Figur \* ARABIC ">
        <w:r w:rsidR="00A5116A">
          <w:rPr>
            <w:noProof/>
          </w:rPr>
          <w:t>1</w:t>
        </w:r>
      </w:fldSimple>
      <w:r>
        <w:t xml:space="preserve">: </w:t>
      </w:r>
      <w:r w:rsidR="00E21092">
        <w:t xml:space="preserve">Hæmoglobin </w:t>
      </w:r>
      <w:r w:rsidR="00345AD2">
        <w:t xml:space="preserve">er et globulært protein, som består af </w:t>
      </w:r>
      <w:r w:rsidR="00E21092">
        <w:t xml:space="preserve">består af </w:t>
      </w:r>
    </w:p>
    <w:p w14:paraId="23054C45" w14:textId="77777777" w:rsidR="00345AD2" w:rsidRDefault="00345AD2" w:rsidP="00345AD2">
      <w:pPr>
        <w:pStyle w:val="Billedtekst"/>
        <w:spacing w:after="0"/>
      </w:pPr>
      <w:r>
        <w:t>4 underenheder, som hver består af en polypeptidkæde</w:t>
      </w:r>
      <w:r w:rsidR="00E21092">
        <w:t xml:space="preserve"> </w:t>
      </w:r>
      <w:r>
        <w:t xml:space="preserve">kaldet globin </w:t>
      </w:r>
    </w:p>
    <w:p w14:paraId="1D4BBDC6" w14:textId="77777777" w:rsidR="00404349" w:rsidRDefault="00345AD2" w:rsidP="00345AD2">
      <w:pPr>
        <w:pStyle w:val="Billedtekst"/>
        <w:spacing w:after="0"/>
      </w:pPr>
      <w:r>
        <w:t>og en hæm-gruppe.</w:t>
      </w:r>
    </w:p>
    <w:p w14:paraId="7DBC0C13" w14:textId="77777777" w:rsidR="00345AD2" w:rsidRPr="00345AD2" w:rsidRDefault="00345AD2" w:rsidP="00345AD2"/>
    <w:p w14:paraId="3228291E" w14:textId="77777777" w:rsidR="00404349" w:rsidRDefault="00404349" w:rsidP="00404349">
      <w:pPr>
        <w:spacing w:after="0"/>
      </w:pPr>
      <w:r>
        <w:lastRenderedPageBreak/>
        <w:t>På figur 2 ses, at mutationen består i en udskiftning af aminosyren glutamin</w:t>
      </w:r>
      <w:r w:rsidR="00430131">
        <w:t>syre</w:t>
      </w:r>
      <w:r>
        <w:t xml:space="preserve"> med aminosyren valin. I det normale gen, er koden for aminosyrern</w:t>
      </w:r>
      <w:r w:rsidR="00E32DA7">
        <w:t xml:space="preserve">e 5, 6 og 7 (Pro-Glu-Glu) i </w:t>
      </w:r>
      <w:r w:rsidR="00E32DA7">
        <w:rPr>
          <w:rFonts w:cstheme="minorHAnsi"/>
        </w:rPr>
        <w:t>β</w:t>
      </w:r>
      <w:r w:rsidR="00E32DA7">
        <w:t>-</w:t>
      </w:r>
      <w:r>
        <w:t xml:space="preserve">kæden: CCT-GAG-GAG. Punktmutationen i sjette triplet ændrer A til T, hvilket giver følgende baserækkefølge: </w:t>
      </w:r>
    </w:p>
    <w:p w14:paraId="49BE333F" w14:textId="77777777" w:rsidR="00404349" w:rsidRDefault="00404349" w:rsidP="00404349">
      <w:pPr>
        <w:spacing w:after="0"/>
      </w:pPr>
      <w:r>
        <w:t xml:space="preserve">CCT-GTG-GAG. </w:t>
      </w:r>
    </w:p>
    <w:p w14:paraId="20C0DF71" w14:textId="77777777" w:rsidR="00404349" w:rsidRDefault="00404349" w:rsidP="00404349">
      <w:pPr>
        <w:keepNext/>
      </w:pPr>
      <w:r>
        <w:rPr>
          <w:noProof/>
          <w:lang w:eastAsia="da-DK"/>
        </w:rPr>
        <w:drawing>
          <wp:inline distT="0" distB="0" distL="0" distR="0" wp14:anchorId="482E3B44" wp14:editId="30A484A2">
            <wp:extent cx="3708400" cy="2101850"/>
            <wp:effectExtent l="0" t="0" r="635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08400" cy="210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8A694" w14:textId="77777777" w:rsidR="00A23C6C" w:rsidRDefault="00404349" w:rsidP="00A23C6C">
      <w:pPr>
        <w:pStyle w:val="Billedtekst"/>
        <w:spacing w:after="0"/>
      </w:pPr>
      <w:r>
        <w:t xml:space="preserve">Figur </w:t>
      </w:r>
      <w:fldSimple w:instr=" SEQ Figur \* ARABIC ">
        <w:r w:rsidR="00A5116A">
          <w:rPr>
            <w:noProof/>
          </w:rPr>
          <w:t>2</w:t>
        </w:r>
      </w:fldSimple>
      <w:r w:rsidR="00A23C6C">
        <w:t xml:space="preserve">: Venstre: Normale DNA-sekvens og normale aminosyre/ protein. </w:t>
      </w:r>
    </w:p>
    <w:p w14:paraId="582B3BE7" w14:textId="77777777" w:rsidR="00A23C6C" w:rsidRPr="00A23C6C" w:rsidRDefault="00A23C6C" w:rsidP="00A23C6C">
      <w:pPr>
        <w:pStyle w:val="Billedtekst"/>
        <w:spacing w:after="0"/>
      </w:pPr>
      <w:r>
        <w:t>Højre: Muteret DNA-sekvens og ændring af aminosyre i proteinet.</w:t>
      </w:r>
    </w:p>
    <w:p w14:paraId="0DA5F958" w14:textId="77777777" w:rsidR="00404349" w:rsidRDefault="00404349" w:rsidP="0023302E"/>
    <w:p w14:paraId="335B5214" w14:textId="77777777" w:rsidR="00404349" w:rsidRDefault="00404349" w:rsidP="00404349">
      <w:pPr>
        <w:keepNext/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3842"/>
      </w:tblGrid>
      <w:tr w:rsidR="006B1728" w14:paraId="1FB23A13" w14:textId="77777777" w:rsidTr="00331523">
        <w:tc>
          <w:tcPr>
            <w:tcW w:w="4889" w:type="dxa"/>
          </w:tcPr>
          <w:p w14:paraId="51688A14" w14:textId="77777777" w:rsidR="00331523" w:rsidRDefault="00331523" w:rsidP="00331523">
            <w:pPr>
              <w:pStyle w:val="Billedtekst"/>
              <w:keepNext/>
              <w:rPr>
                <w:noProof/>
                <w:lang w:eastAsia="da-DK"/>
              </w:rPr>
            </w:pPr>
          </w:p>
          <w:p w14:paraId="3285FFAD" w14:textId="77777777" w:rsidR="00331523" w:rsidRDefault="00331523" w:rsidP="00331523">
            <w:pPr>
              <w:pStyle w:val="Billedtekst"/>
              <w:keepNext/>
              <w:rPr>
                <w:noProof/>
                <w:lang w:eastAsia="da-DK"/>
              </w:rPr>
            </w:pPr>
          </w:p>
          <w:p w14:paraId="59AE6497" w14:textId="77777777" w:rsidR="00331523" w:rsidRDefault="00331523" w:rsidP="00331523">
            <w:pPr>
              <w:pStyle w:val="Billedtekst"/>
              <w:keepNext/>
              <w:rPr>
                <w:noProof/>
                <w:lang w:eastAsia="da-DK"/>
              </w:rPr>
            </w:pPr>
          </w:p>
          <w:p w14:paraId="1255DF68" w14:textId="77777777" w:rsidR="00A23C6C" w:rsidRDefault="00A23C6C" w:rsidP="00331523">
            <w:pPr>
              <w:pStyle w:val="Billedtekst"/>
              <w:keepNext/>
              <w:rPr>
                <w:noProof/>
                <w:lang w:eastAsia="da-DK"/>
              </w:rPr>
            </w:pPr>
          </w:p>
          <w:p w14:paraId="03685780" w14:textId="77777777" w:rsidR="00331523" w:rsidRDefault="006B1728" w:rsidP="00331523">
            <w:pPr>
              <w:pStyle w:val="Billedtekst"/>
              <w:keepNext/>
            </w:pPr>
            <w:r>
              <w:rPr>
                <w:noProof/>
                <w:lang w:eastAsia="da-DK"/>
              </w:rPr>
              <w:drawing>
                <wp:inline distT="0" distB="0" distL="0" distR="0" wp14:anchorId="32810807" wp14:editId="1B1DD1D5">
                  <wp:extent cx="3543300" cy="1816100"/>
                  <wp:effectExtent l="0" t="0" r="0" b="0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300" cy="181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F17E40" w14:textId="77777777" w:rsidR="006B1728" w:rsidRPr="00A23C6C" w:rsidRDefault="00331523" w:rsidP="00907FDB">
            <w:pPr>
              <w:pStyle w:val="Billedtekst"/>
            </w:pPr>
            <w:r w:rsidRPr="00A23C6C">
              <w:t xml:space="preserve">Figur </w:t>
            </w:r>
            <w:r>
              <w:fldChar w:fldCharType="begin"/>
            </w:r>
            <w:r w:rsidRPr="00A23C6C">
              <w:instrText xml:space="preserve"> SEQ Figur \* ARABIC </w:instrText>
            </w:r>
            <w:r>
              <w:fldChar w:fldCharType="separate"/>
            </w:r>
            <w:r w:rsidR="00A5116A">
              <w:rPr>
                <w:noProof/>
              </w:rPr>
              <w:t>3</w:t>
            </w:r>
            <w:r>
              <w:fldChar w:fldCharType="end"/>
            </w:r>
            <w:r w:rsidRPr="00A23C6C">
              <w:t xml:space="preserve">: </w:t>
            </w:r>
            <w:r w:rsidR="00A23C6C" w:rsidRPr="00A23C6C">
              <w:t>Normal hæmoglobin (venstre) og hæmoglobin i seglcelle røde blodlegemer (højre) ser forskellige ud; mutationen</w:t>
            </w:r>
            <w:r w:rsidR="00A23C6C">
              <w:t xml:space="preserve"> i</w:t>
            </w:r>
            <w:r w:rsidR="00A23C6C" w:rsidRPr="00A23C6C">
              <w:t xml:space="preserve"> DNA </w:t>
            </w:r>
            <w:r w:rsidR="00A23C6C">
              <w:t>ændrer formen på  hæmoglobinmolekylet en smule, hvilket medfører at de klumper sammen</w:t>
            </w:r>
            <w:r w:rsidR="00A23C6C" w:rsidRPr="00A23C6C">
              <w:t>.</w:t>
            </w:r>
          </w:p>
        </w:tc>
        <w:tc>
          <w:tcPr>
            <w:tcW w:w="4889" w:type="dxa"/>
          </w:tcPr>
          <w:p w14:paraId="4F85324B" w14:textId="77777777" w:rsidR="00331523" w:rsidRDefault="006B1728" w:rsidP="00331523">
            <w:pPr>
              <w:pStyle w:val="Billedtekst"/>
              <w:keepNext/>
            </w:pPr>
            <w:r>
              <w:rPr>
                <w:noProof/>
                <w:lang w:eastAsia="da-DK"/>
              </w:rPr>
              <w:drawing>
                <wp:inline distT="0" distB="0" distL="0" distR="0" wp14:anchorId="62079153" wp14:editId="575EF8CA">
                  <wp:extent cx="1352550" cy="2317750"/>
                  <wp:effectExtent l="0" t="0" r="0" b="6350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231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E7474E" w14:textId="77777777" w:rsidR="00A23C6C" w:rsidRPr="00A23C6C" w:rsidRDefault="00331523" w:rsidP="00A23C6C">
            <w:pPr>
              <w:pStyle w:val="Billedtekst"/>
            </w:pPr>
            <w:r>
              <w:t xml:space="preserve">Figur </w:t>
            </w:r>
            <w:fldSimple w:instr=" SEQ Figur \* ARABIC ">
              <w:r w:rsidR="00A5116A">
                <w:rPr>
                  <w:noProof/>
                </w:rPr>
                <w:t>4</w:t>
              </w:r>
            </w:fldSimple>
            <w:r w:rsidR="00A23C6C">
              <w:t xml:space="preserve"> Øverst: normale røde blodlegemer. Nederst: seglcelle røde blodlegemer</w:t>
            </w:r>
          </w:p>
          <w:p w14:paraId="1AA74FEF" w14:textId="77777777" w:rsidR="006B1728" w:rsidRPr="006B1728" w:rsidRDefault="006B1728" w:rsidP="006B1728"/>
        </w:tc>
      </w:tr>
    </w:tbl>
    <w:p w14:paraId="136AB1DD" w14:textId="77777777" w:rsidR="00404349" w:rsidRDefault="00404349" w:rsidP="00404349">
      <w:pPr>
        <w:pStyle w:val="Billedtekst"/>
      </w:pPr>
    </w:p>
    <w:p w14:paraId="7F361F48" w14:textId="4C34CB05" w:rsidR="00907FDB" w:rsidRDefault="00907FDB" w:rsidP="0023302E">
      <w:r>
        <w:t>Mutationen medfører, at de røde blodlegemer får en speciel seglform (se fig. 4) ved lave ilttryk</w:t>
      </w:r>
      <w:r w:rsidR="00E0050C">
        <w:t>.</w:t>
      </w:r>
    </w:p>
    <w:p w14:paraId="5A5B0F9B" w14:textId="77777777" w:rsidR="00404349" w:rsidRDefault="00907FDB" w:rsidP="0023302E">
      <w:r>
        <w:t>Hvis man er homozygot mht. genet for seglcelleanæmi, er s</w:t>
      </w:r>
      <w:r w:rsidR="006A12E7">
        <w:t>ygdommen</w:t>
      </w:r>
      <w:r w:rsidR="00D15844">
        <w:t xml:space="preserve"> </w:t>
      </w:r>
      <w:r w:rsidR="0090312E">
        <w:t xml:space="preserve">ofte </w:t>
      </w:r>
      <w:r w:rsidR="00D15844">
        <w:t>dødelig</w:t>
      </w:r>
      <w:r>
        <w:t xml:space="preserve"> </w:t>
      </w:r>
      <w:r w:rsidR="00404349">
        <w:t xml:space="preserve">og resulterer i at blodcellerne lettere klumper sammen, at de røde blodlegemers levetid er forkortet, iltforsyning til organerne er nedsat – med skader på bl.a. lever, nyrer, øjne til følge. </w:t>
      </w:r>
    </w:p>
    <w:p w14:paraId="72729049" w14:textId="77777777" w:rsidR="00907FDB" w:rsidRDefault="00907FDB" w:rsidP="0023302E">
      <w:r>
        <w:t>Hvis man er heterozygot mht. genet for seglcelleanæmi, vil man have en vis beskyttelse over for malaria.</w:t>
      </w:r>
    </w:p>
    <w:p w14:paraId="30163EB3" w14:textId="77777777" w:rsidR="00A23C6C" w:rsidRDefault="00A23C6C" w:rsidP="00A23C6C">
      <w:pPr>
        <w:pStyle w:val="Overskrift3"/>
      </w:pPr>
      <w:r>
        <w:lastRenderedPageBreak/>
        <w:t xml:space="preserve">DNA – analyse </w:t>
      </w:r>
    </w:p>
    <w:p w14:paraId="60702E5E" w14:textId="77777777" w:rsidR="00D17098" w:rsidRDefault="00A23C6C" w:rsidP="0023302E">
      <w:r>
        <w:t>Man kan ved brug af få celler fra et individ, udtrække DNA og via Polymerase Chain Reaction (PCR) øge mængden af DNA til videre analyse. Baggrunden for testen er</w:t>
      </w:r>
      <w:r w:rsidR="00A5116A">
        <w:t>,</w:t>
      </w:r>
      <w:r>
        <w:t xml:space="preserve"> at man bruger restriktionsenzymer</w:t>
      </w:r>
      <w:r w:rsidR="00A5116A">
        <w:t>,</w:t>
      </w:r>
      <w:r>
        <w:t xml:space="preserve"> der ”klipper” i specifikke palindromiske sekvenser (sekvenser der kan læses i begge retninger i det dobbeltstrengede DNA). </w:t>
      </w:r>
    </w:p>
    <w:p w14:paraId="4AAFC814" w14:textId="77777777" w:rsidR="00D17098" w:rsidRDefault="00A23C6C" w:rsidP="0023302E">
      <w:r>
        <w:t xml:space="preserve">Når man i dette forsøg har valgt restriktionsenzymet MstII skyldes det, at enzymet kun klipper i det normale gens basesekvens CCTGAGGAG, og ikke den muterede sekvens CCTGTGGAG, hvor basen Adenin er udskiftet med basen Thymin. </w:t>
      </w:r>
    </w:p>
    <w:p w14:paraId="549B91BD" w14:textId="77777777" w:rsidR="00907FDB" w:rsidRDefault="00A23C6C" w:rsidP="0023302E">
      <w:r>
        <w:t>Genkendelsesstedet for Restriktionsenzymet Mstll ses her markeret med rødt CC</w:t>
      </w:r>
      <w:r>
        <w:sym w:font="Symbol" w:char="F07C"/>
      </w:r>
      <w:r>
        <w:t>TNAGG, hvor N kan være enhver af de fire nukleotider (T, C,</w:t>
      </w:r>
      <w:r w:rsidR="00A5116A">
        <w:t xml:space="preserve"> </w:t>
      </w:r>
      <w:r>
        <w:t xml:space="preserve">G eller A). </w:t>
      </w:r>
    </w:p>
    <w:p w14:paraId="6F32DDC4" w14:textId="77777777" w:rsidR="00907FDB" w:rsidRDefault="00907FDB" w:rsidP="0023302E">
      <w:r>
        <w:rPr>
          <w:noProof/>
          <w:lang w:eastAsia="da-DK"/>
        </w:rPr>
        <w:drawing>
          <wp:inline distT="0" distB="0" distL="0" distR="0" wp14:anchorId="717B3CD7" wp14:editId="1FD9EDAF">
            <wp:extent cx="5308600" cy="1962150"/>
            <wp:effectExtent l="0" t="0" r="6350" b="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2ADCE" w14:textId="77777777" w:rsidR="00907FDB" w:rsidRPr="00907FDB" w:rsidRDefault="00A23C6C" w:rsidP="00907FDB">
      <w:pPr>
        <w:spacing w:after="0"/>
        <w:rPr>
          <w:rStyle w:val="Overskrift3Tegn"/>
        </w:rPr>
      </w:pPr>
      <w:r w:rsidRPr="00907FDB">
        <w:rPr>
          <w:rStyle w:val="Overskrift3Tegn"/>
        </w:rPr>
        <w:t xml:space="preserve">Restriktionsenzymer. </w:t>
      </w:r>
    </w:p>
    <w:p w14:paraId="03826638" w14:textId="77777777" w:rsidR="00404349" w:rsidRDefault="00A23C6C" w:rsidP="00907FDB">
      <w:pPr>
        <w:spacing w:after="0"/>
      </w:pPr>
      <w:r>
        <w:t>Restriktionsenzymer er endonukleaser, som katalyserer kløvningen af</w:t>
      </w:r>
      <w:r w:rsidR="005A65AF">
        <w:t xml:space="preserve"> bindingen mellem phosphat og deoxyribose</w:t>
      </w:r>
      <w:r>
        <w:t xml:space="preserve"> i DNA strengen. Det specielle ved restriktionsenzymerne er, at de kun klipper i helt specifikke base-sekvenser. Enzymerne produceres i mange forskellige arter af bakterier</w:t>
      </w:r>
      <w:r w:rsidR="005A65AF">
        <w:t>,</w:t>
      </w:r>
      <w:r>
        <w:t xml:space="preserve"> og der findes i dag et katalog med over 1500 forskellige restriktionsenzymer. Enzymerne er typisk navngivet efter de organismer</w:t>
      </w:r>
      <w:r w:rsidR="005A65AF">
        <w:t>,</w:t>
      </w:r>
      <w:r>
        <w:t xml:space="preserve"> de er isoleret fra. Man navngiver enzymet ved hjælp af slægtsnavnet</w:t>
      </w:r>
      <w:r w:rsidR="005A65AF">
        <w:t xml:space="preserve"> samt et romertal, i tilfælde af</w:t>
      </w:r>
      <w:r>
        <w:t xml:space="preserve"> at flere enzymer isoleres fra samme slægt. </w:t>
      </w:r>
    </w:p>
    <w:p w14:paraId="3C983687" w14:textId="77777777" w:rsidR="00907FDB" w:rsidRDefault="00907FDB" w:rsidP="00907FDB">
      <w:pPr>
        <w:spacing w:after="0"/>
      </w:pPr>
      <w:r>
        <w:rPr>
          <w:noProof/>
          <w:lang w:eastAsia="da-DK"/>
        </w:rPr>
        <w:drawing>
          <wp:inline distT="0" distB="0" distL="0" distR="0" wp14:anchorId="06800382" wp14:editId="781336CA">
            <wp:extent cx="4000500" cy="1562100"/>
            <wp:effectExtent l="0" t="0" r="0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0BE1F" w14:textId="129EEB7D" w:rsidR="0023302E" w:rsidRDefault="0023302E" w:rsidP="0023302E">
      <w:r>
        <w:t xml:space="preserve"> </w:t>
      </w:r>
    </w:p>
    <w:p w14:paraId="75BCE303" w14:textId="6A5DEAAA" w:rsidR="008F7285" w:rsidRDefault="008F7285" w:rsidP="0023302E"/>
    <w:p w14:paraId="30007046" w14:textId="77777777" w:rsidR="008F7285" w:rsidRPr="0023302E" w:rsidRDefault="008F7285" w:rsidP="0023302E"/>
    <w:p w14:paraId="1E3A8660" w14:textId="77777777" w:rsidR="0023302E" w:rsidRDefault="0023302E" w:rsidP="0023302E">
      <w:pPr>
        <w:pStyle w:val="Overskrift2"/>
      </w:pPr>
      <w:r>
        <w:lastRenderedPageBreak/>
        <w:t>Teori</w:t>
      </w:r>
    </w:p>
    <w:p w14:paraId="4641E5EB" w14:textId="77777777" w:rsidR="008A232F" w:rsidRPr="00EF44C7" w:rsidRDefault="008A232F" w:rsidP="008A232F">
      <w:pPr>
        <w:pStyle w:val="Brdtekst"/>
        <w:spacing w:before="8"/>
        <w:rPr>
          <w:sz w:val="21"/>
          <w:lang w:val="da-DK"/>
        </w:rPr>
      </w:pPr>
    </w:p>
    <w:p w14:paraId="691E486D" w14:textId="77777777" w:rsidR="00EF44C7" w:rsidRPr="00187DE1" w:rsidRDefault="00EF44C7" w:rsidP="00187DE1">
      <w:pPr>
        <w:pStyle w:val="Listeafsnit"/>
        <w:numPr>
          <w:ilvl w:val="0"/>
          <w:numId w:val="5"/>
        </w:numPr>
        <w:spacing w:after="0"/>
      </w:pPr>
      <w:r w:rsidRPr="00187DE1">
        <w:t xml:space="preserve">Forklar hvorledes man undersøger om en patient har seglcelleanæmi. </w:t>
      </w:r>
    </w:p>
    <w:p w14:paraId="49CD788E" w14:textId="77777777" w:rsidR="008A232F" w:rsidRPr="00187DE1" w:rsidRDefault="00EF44C7" w:rsidP="00187DE1">
      <w:pPr>
        <w:pStyle w:val="Listeafsnit"/>
        <w:numPr>
          <w:ilvl w:val="1"/>
          <w:numId w:val="5"/>
        </w:numPr>
        <w:spacing w:after="0"/>
      </w:pPr>
      <w:r w:rsidRPr="00187DE1">
        <w:t xml:space="preserve">Inddrag PCR og gelelektroforese. </w:t>
      </w:r>
    </w:p>
    <w:p w14:paraId="3691EA69" w14:textId="77777777" w:rsidR="00EF44C7" w:rsidRPr="005A65AF" w:rsidRDefault="00EF44C7" w:rsidP="00EF44C7">
      <w:pPr>
        <w:widowControl w:val="0"/>
        <w:tabs>
          <w:tab w:val="left" w:pos="1511"/>
          <w:tab w:val="left" w:pos="1512"/>
        </w:tabs>
        <w:autoSpaceDE w:val="0"/>
        <w:autoSpaceDN w:val="0"/>
        <w:spacing w:after="0" w:line="240" w:lineRule="auto"/>
        <w:rPr>
          <w:sz w:val="20"/>
        </w:rPr>
      </w:pPr>
    </w:p>
    <w:p w14:paraId="16DA9A3C" w14:textId="77777777" w:rsidR="00EF44C7" w:rsidRPr="005A65AF" w:rsidRDefault="00EF44C7" w:rsidP="00EF44C7">
      <w:pPr>
        <w:widowControl w:val="0"/>
        <w:tabs>
          <w:tab w:val="left" w:pos="1511"/>
          <w:tab w:val="left" w:pos="1512"/>
        </w:tabs>
        <w:autoSpaceDE w:val="0"/>
        <w:autoSpaceDN w:val="0"/>
        <w:spacing w:after="0" w:line="240" w:lineRule="auto"/>
        <w:rPr>
          <w:sz w:val="20"/>
        </w:rPr>
      </w:pPr>
    </w:p>
    <w:p w14:paraId="5B5BAC56" w14:textId="77777777" w:rsidR="0023302E" w:rsidRDefault="0023302E" w:rsidP="0023302E">
      <w:pPr>
        <w:pStyle w:val="Overskrift2"/>
      </w:pPr>
      <w:r>
        <w:t>Materialer</w:t>
      </w:r>
    </w:p>
    <w:p w14:paraId="66EF5673" w14:textId="77777777" w:rsidR="00D96461" w:rsidRPr="00D96461" w:rsidRDefault="00D96461" w:rsidP="00D96461">
      <w:r>
        <w:t>2 x 10 mL bægerglas</w:t>
      </w:r>
    </w:p>
    <w:p w14:paraId="06D4799C" w14:textId="77777777" w:rsidR="0023302E" w:rsidRDefault="0023302E" w:rsidP="0023302E">
      <w:pPr>
        <w:spacing w:after="0"/>
      </w:pPr>
      <w:r>
        <w:t>Agarosegeler</w:t>
      </w:r>
    </w:p>
    <w:p w14:paraId="204A0481" w14:textId="77777777" w:rsidR="0023302E" w:rsidRDefault="0023302E" w:rsidP="0023302E">
      <w:pPr>
        <w:spacing w:after="0"/>
      </w:pPr>
      <w:r>
        <w:t>Elektroforesebuffer</w:t>
      </w:r>
    </w:p>
    <w:p w14:paraId="529B907E" w14:textId="77777777" w:rsidR="0023302E" w:rsidRDefault="0023302E" w:rsidP="0023302E">
      <w:pPr>
        <w:spacing w:after="0"/>
      </w:pPr>
      <w:r>
        <w:t>Støbeform til geler</w:t>
      </w:r>
    </w:p>
    <w:p w14:paraId="3503247D" w14:textId="77777777" w:rsidR="0023302E" w:rsidRDefault="0023302E" w:rsidP="0023302E">
      <w:pPr>
        <w:spacing w:after="0"/>
      </w:pPr>
      <w:r>
        <w:t>Elektroforesekar + strømforsyning</w:t>
      </w:r>
    </w:p>
    <w:p w14:paraId="549BACC5" w14:textId="77777777" w:rsidR="0023302E" w:rsidRDefault="0023302E" w:rsidP="0023302E">
      <w:pPr>
        <w:spacing w:after="0"/>
      </w:pPr>
      <w:r>
        <w:t>Uview 6x loadin dye</w:t>
      </w:r>
      <w:r w:rsidR="00E204C5">
        <w:t xml:space="preserve"> (Farve som vandrer sammen med DNA, og som gør DNA-stykkerne synlige under UV-lys)</w:t>
      </w:r>
    </w:p>
    <w:p w14:paraId="733FE7D7" w14:textId="77777777" w:rsidR="0023302E" w:rsidRDefault="0023302E" w:rsidP="0023302E">
      <w:pPr>
        <w:spacing w:after="0"/>
      </w:pPr>
      <w:r>
        <w:t>Pipetter + pipettespidser</w:t>
      </w:r>
    </w:p>
    <w:p w14:paraId="75AE20FB" w14:textId="77777777" w:rsidR="0023302E" w:rsidRDefault="0023302E" w:rsidP="0023302E">
      <w:pPr>
        <w:spacing w:after="0"/>
      </w:pPr>
      <w:r>
        <w:t>UV-lampe</w:t>
      </w:r>
    </w:p>
    <w:p w14:paraId="34344362" w14:textId="77777777" w:rsidR="0023302E" w:rsidRPr="0023302E" w:rsidRDefault="0023302E" w:rsidP="0023302E">
      <w:pPr>
        <w:spacing w:after="0"/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4491"/>
      </w:tblGrid>
      <w:tr w:rsidR="0023302E" w:rsidRPr="00446854" w14:paraId="5DE040A5" w14:textId="77777777" w:rsidTr="0023302E">
        <w:trPr>
          <w:trHeight w:val="300"/>
        </w:trPr>
        <w:tc>
          <w:tcPr>
            <w:tcW w:w="4491" w:type="dxa"/>
          </w:tcPr>
          <w:p w14:paraId="5409C65D" w14:textId="77777777" w:rsidR="0023302E" w:rsidRDefault="0023302E" w:rsidP="0023302E">
            <w:pPr>
              <w:pStyle w:val="TableParagraph"/>
              <w:spacing w:line="229" w:lineRule="exact"/>
              <w:ind w:left="50"/>
              <w:rPr>
                <w:rFonts w:ascii="Gill Sans MT" w:hAnsi="Gill Sans MT"/>
                <w:b/>
                <w:color w:val="231F20"/>
                <w:sz w:val="20"/>
              </w:rPr>
            </w:pPr>
            <w:r>
              <w:rPr>
                <w:rFonts w:ascii="Gill Sans MT" w:hAnsi="Gill Sans MT"/>
                <w:b/>
                <w:color w:val="231F20"/>
                <w:sz w:val="20"/>
              </w:rPr>
              <w:t>DNA-prøverne</w:t>
            </w:r>
          </w:p>
          <w:p w14:paraId="160BCDBB" w14:textId="77777777" w:rsidR="0023302E" w:rsidRDefault="0023302E" w:rsidP="0023302E">
            <w:pPr>
              <w:pStyle w:val="TableParagraph"/>
              <w:spacing w:line="229" w:lineRule="exact"/>
              <w:ind w:left="50"/>
              <w:rPr>
                <w:rFonts w:ascii="Gill Sans MT" w:hAnsi="Gill Sans MT"/>
                <w:b/>
                <w:sz w:val="20"/>
              </w:rPr>
            </w:pPr>
            <w:r>
              <w:rPr>
                <w:rFonts w:ascii="Gill Sans MT" w:hAnsi="Gill Sans MT"/>
                <w:b/>
                <w:color w:val="231F20"/>
                <w:sz w:val="20"/>
              </w:rPr>
              <w:t>Components (in QuickStrip™ format)</w:t>
            </w:r>
          </w:p>
        </w:tc>
      </w:tr>
      <w:tr w:rsidR="0023302E" w:rsidRPr="00446854" w14:paraId="11AD3D8B" w14:textId="77777777" w:rsidTr="0023302E">
        <w:trPr>
          <w:trHeight w:val="312"/>
        </w:trPr>
        <w:tc>
          <w:tcPr>
            <w:tcW w:w="4491" w:type="dxa"/>
          </w:tcPr>
          <w:p w14:paraId="7F1CDF3E" w14:textId="77777777" w:rsidR="0023302E" w:rsidRDefault="0023302E" w:rsidP="00293CD9">
            <w:pPr>
              <w:pStyle w:val="TableParagraph"/>
              <w:tabs>
                <w:tab w:val="left" w:pos="409"/>
              </w:tabs>
              <w:spacing w:before="74" w:line="218" w:lineRule="exact"/>
              <w:ind w:left="50"/>
              <w:rPr>
                <w:rFonts w:ascii="Arial"/>
                <w:sz w:val="20"/>
              </w:rPr>
            </w:pPr>
            <w:r>
              <w:rPr>
                <w:rFonts w:ascii="Arial"/>
                <w:color w:val="231F20"/>
                <w:sz w:val="20"/>
              </w:rPr>
              <w:t>A</w:t>
            </w:r>
            <w:r>
              <w:rPr>
                <w:rFonts w:ascii="Arial"/>
                <w:color w:val="231F20"/>
                <w:sz w:val="20"/>
              </w:rPr>
              <w:tab/>
              <w:t>Sickle cell gene</w:t>
            </w:r>
            <w:r>
              <w:rPr>
                <w:rFonts w:ascii="Arial"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sample</w:t>
            </w:r>
          </w:p>
        </w:tc>
      </w:tr>
      <w:tr w:rsidR="0023302E" w:rsidRPr="00446854" w14:paraId="3DA86D67" w14:textId="77777777" w:rsidTr="0023302E">
        <w:trPr>
          <w:trHeight w:val="260"/>
        </w:trPr>
        <w:tc>
          <w:tcPr>
            <w:tcW w:w="4491" w:type="dxa"/>
          </w:tcPr>
          <w:p w14:paraId="3E1EC640" w14:textId="77777777" w:rsidR="0023302E" w:rsidRDefault="0023302E" w:rsidP="00293CD9">
            <w:pPr>
              <w:pStyle w:val="TableParagraph"/>
              <w:tabs>
                <w:tab w:val="left" w:pos="409"/>
              </w:tabs>
              <w:spacing w:before="22" w:line="218" w:lineRule="exact"/>
              <w:ind w:left="50"/>
              <w:rPr>
                <w:rFonts w:ascii="Arial"/>
                <w:sz w:val="20"/>
              </w:rPr>
            </w:pPr>
            <w:r>
              <w:rPr>
                <w:rFonts w:ascii="Arial"/>
                <w:color w:val="231F20"/>
                <w:sz w:val="20"/>
              </w:rPr>
              <w:t>B</w:t>
            </w:r>
            <w:r>
              <w:rPr>
                <w:rFonts w:ascii="Arial"/>
                <w:color w:val="231F20"/>
                <w:sz w:val="20"/>
              </w:rPr>
              <w:tab/>
              <w:t>Sickle cell trait (carrier)</w:t>
            </w:r>
            <w:r>
              <w:rPr>
                <w:rFonts w:ascii="Arial"/>
                <w:color w:val="231F20"/>
                <w:spacing w:val="-22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sample</w:t>
            </w:r>
          </w:p>
        </w:tc>
      </w:tr>
      <w:tr w:rsidR="0023302E" w14:paraId="38ED320D" w14:textId="77777777" w:rsidTr="0023302E">
        <w:trPr>
          <w:trHeight w:val="259"/>
        </w:trPr>
        <w:tc>
          <w:tcPr>
            <w:tcW w:w="4491" w:type="dxa"/>
          </w:tcPr>
          <w:p w14:paraId="0179CE55" w14:textId="77777777" w:rsidR="0023302E" w:rsidRDefault="0023302E" w:rsidP="00293CD9">
            <w:pPr>
              <w:pStyle w:val="TableParagraph"/>
              <w:tabs>
                <w:tab w:val="left" w:pos="409"/>
              </w:tabs>
              <w:spacing w:before="22" w:line="218" w:lineRule="exact"/>
              <w:ind w:left="50"/>
              <w:rPr>
                <w:rFonts w:ascii="Arial"/>
                <w:sz w:val="20"/>
              </w:rPr>
            </w:pPr>
            <w:r>
              <w:rPr>
                <w:rFonts w:ascii="Arial"/>
                <w:color w:val="231F20"/>
                <w:sz w:val="20"/>
              </w:rPr>
              <w:t>C</w:t>
            </w:r>
            <w:r>
              <w:rPr>
                <w:rFonts w:ascii="Arial"/>
                <w:color w:val="231F20"/>
                <w:sz w:val="20"/>
              </w:rPr>
              <w:tab/>
              <w:t>Normal gene</w:t>
            </w:r>
            <w:r>
              <w:rPr>
                <w:rFonts w:ascii="Arial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sample</w:t>
            </w:r>
          </w:p>
        </w:tc>
      </w:tr>
      <w:tr w:rsidR="0023302E" w14:paraId="3D6CEC6B" w14:textId="77777777" w:rsidTr="0023302E">
        <w:trPr>
          <w:trHeight w:val="259"/>
        </w:trPr>
        <w:tc>
          <w:tcPr>
            <w:tcW w:w="4491" w:type="dxa"/>
          </w:tcPr>
          <w:p w14:paraId="7EA5E5C7" w14:textId="77777777" w:rsidR="0023302E" w:rsidRDefault="0023302E" w:rsidP="00293CD9">
            <w:pPr>
              <w:pStyle w:val="TableParagraph"/>
              <w:tabs>
                <w:tab w:val="left" w:pos="409"/>
              </w:tabs>
              <w:spacing w:before="22" w:line="218" w:lineRule="exact"/>
              <w:ind w:left="50"/>
              <w:rPr>
                <w:rFonts w:ascii="Arial"/>
                <w:sz w:val="20"/>
              </w:rPr>
            </w:pPr>
            <w:r>
              <w:rPr>
                <w:rFonts w:ascii="Arial"/>
                <w:color w:val="231F20"/>
                <w:sz w:val="20"/>
              </w:rPr>
              <w:t>D</w:t>
            </w:r>
            <w:r>
              <w:rPr>
                <w:rFonts w:ascii="Arial"/>
                <w:color w:val="231F20"/>
                <w:sz w:val="20"/>
              </w:rPr>
              <w:tab/>
              <w:t>Mother's DNA</w:t>
            </w:r>
            <w:r>
              <w:rPr>
                <w:rFonts w:ascii="Arial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Arial"/>
                <w:color w:val="231F20"/>
                <w:sz w:val="20"/>
              </w:rPr>
              <w:t>sample</w:t>
            </w:r>
          </w:p>
        </w:tc>
      </w:tr>
      <w:tr w:rsidR="0023302E" w14:paraId="760D8822" w14:textId="77777777" w:rsidTr="0023302E">
        <w:trPr>
          <w:trHeight w:val="260"/>
        </w:trPr>
        <w:tc>
          <w:tcPr>
            <w:tcW w:w="4491" w:type="dxa"/>
          </w:tcPr>
          <w:p w14:paraId="16B698B8" w14:textId="77777777" w:rsidR="0023302E" w:rsidRDefault="0023302E" w:rsidP="00293CD9">
            <w:pPr>
              <w:pStyle w:val="TableParagraph"/>
              <w:tabs>
                <w:tab w:val="left" w:pos="409"/>
              </w:tabs>
              <w:spacing w:before="22" w:line="218" w:lineRule="exact"/>
              <w:ind w:left="50"/>
              <w:rPr>
                <w:rFonts w:ascii="Arial"/>
                <w:sz w:val="20"/>
              </w:rPr>
            </w:pPr>
            <w:r>
              <w:rPr>
                <w:rFonts w:ascii="Arial"/>
                <w:color w:val="231F20"/>
                <w:w w:val="95"/>
                <w:sz w:val="20"/>
              </w:rPr>
              <w:t>E</w:t>
            </w:r>
            <w:r>
              <w:rPr>
                <w:rFonts w:ascii="Arial"/>
                <w:color w:val="231F20"/>
                <w:w w:val="95"/>
                <w:sz w:val="20"/>
              </w:rPr>
              <w:tab/>
              <w:t>Child's DNA sample</w:t>
            </w:r>
          </w:p>
        </w:tc>
      </w:tr>
      <w:tr w:rsidR="0023302E" w14:paraId="43E57502" w14:textId="77777777" w:rsidTr="0023302E">
        <w:trPr>
          <w:trHeight w:val="254"/>
        </w:trPr>
        <w:tc>
          <w:tcPr>
            <w:tcW w:w="4491" w:type="dxa"/>
          </w:tcPr>
          <w:p w14:paraId="002C7086" w14:textId="77777777" w:rsidR="0023302E" w:rsidRDefault="0023302E" w:rsidP="00293CD9">
            <w:pPr>
              <w:pStyle w:val="TableParagraph"/>
              <w:tabs>
                <w:tab w:val="left" w:pos="409"/>
              </w:tabs>
              <w:spacing w:before="22" w:line="213" w:lineRule="exact"/>
              <w:ind w:left="50"/>
              <w:rPr>
                <w:rFonts w:ascii="Arial"/>
                <w:sz w:val="20"/>
              </w:rPr>
            </w:pPr>
            <w:r>
              <w:rPr>
                <w:rFonts w:ascii="Arial"/>
                <w:color w:val="231F20"/>
                <w:w w:val="95"/>
                <w:sz w:val="20"/>
              </w:rPr>
              <w:t>F</w:t>
            </w:r>
            <w:r>
              <w:rPr>
                <w:rFonts w:ascii="Arial"/>
                <w:color w:val="231F20"/>
                <w:w w:val="95"/>
                <w:sz w:val="20"/>
              </w:rPr>
              <w:tab/>
              <w:t>Father's DNA sample</w:t>
            </w:r>
          </w:p>
        </w:tc>
      </w:tr>
    </w:tbl>
    <w:p w14:paraId="54C6ADA3" w14:textId="77777777" w:rsidR="0023302E" w:rsidRPr="0023302E" w:rsidRDefault="0023302E" w:rsidP="0023302E"/>
    <w:p w14:paraId="65001B42" w14:textId="77777777" w:rsidR="0023302E" w:rsidRDefault="0023302E" w:rsidP="0023302E">
      <w:pPr>
        <w:pStyle w:val="Overskrift2"/>
      </w:pPr>
      <w:r>
        <w:t>Fremgangsmåde</w:t>
      </w:r>
    </w:p>
    <w:p w14:paraId="50229309" w14:textId="77777777" w:rsidR="00CD4EDE" w:rsidRPr="00CD4EDE" w:rsidRDefault="00CD4EDE" w:rsidP="00CD4EDE">
      <w:r>
        <w:t>Tag meget gerne billeder undervejs i forsøget.</w:t>
      </w:r>
    </w:p>
    <w:p w14:paraId="245D2D16" w14:textId="77777777" w:rsidR="00CF0D8F" w:rsidRDefault="00E204C5" w:rsidP="00CF0D8F">
      <w:pPr>
        <w:pStyle w:val="Listeafsnit"/>
        <w:numPr>
          <w:ilvl w:val="0"/>
          <w:numId w:val="2"/>
        </w:numPr>
      </w:pPr>
      <w:r>
        <w:t>Hent følgende materialer:</w:t>
      </w:r>
    </w:p>
    <w:p w14:paraId="25977A30" w14:textId="77777777" w:rsidR="00E204C5" w:rsidRDefault="00E204C5" w:rsidP="00E204C5">
      <w:pPr>
        <w:pStyle w:val="Listeafsnit"/>
        <w:numPr>
          <w:ilvl w:val="1"/>
          <w:numId w:val="2"/>
        </w:numPr>
      </w:pPr>
      <w:r>
        <w:t>6 spidser til 20-200 pipetten + 6 spidser til 2-20 pipetten</w:t>
      </w:r>
    </w:p>
    <w:p w14:paraId="3F374B12" w14:textId="77777777" w:rsidR="00E204C5" w:rsidRDefault="00E204C5" w:rsidP="00E204C5">
      <w:pPr>
        <w:pStyle w:val="Listeafsnit"/>
        <w:numPr>
          <w:ilvl w:val="1"/>
          <w:numId w:val="2"/>
        </w:numPr>
      </w:pPr>
      <w:r>
        <w:t>En gel</w:t>
      </w:r>
    </w:p>
    <w:p w14:paraId="4747BDE4" w14:textId="77777777" w:rsidR="00E204C5" w:rsidRDefault="00E204C5" w:rsidP="00E204C5">
      <w:pPr>
        <w:pStyle w:val="Listeafsnit"/>
        <w:numPr>
          <w:ilvl w:val="1"/>
          <w:numId w:val="2"/>
        </w:numPr>
      </w:pPr>
      <w:r>
        <w:t>DNA-prøver</w:t>
      </w:r>
    </w:p>
    <w:p w14:paraId="563B269C" w14:textId="5AA47EAF" w:rsidR="00F42F18" w:rsidRDefault="00E204C5" w:rsidP="00E204C5">
      <w:pPr>
        <w:pStyle w:val="Listeafsnit"/>
        <w:numPr>
          <w:ilvl w:val="1"/>
          <w:numId w:val="2"/>
        </w:numPr>
      </w:pPr>
      <w:r>
        <w:t>Uview 6x loading dye. (Denne væske er meget dyr, så pas på den)</w:t>
      </w:r>
      <w:r w:rsidR="000F1FBB">
        <w:t>.</w:t>
      </w:r>
      <w:r>
        <w:t xml:space="preserve"> </w:t>
      </w:r>
    </w:p>
    <w:p w14:paraId="1CA7F9B8" w14:textId="77777777" w:rsidR="00973289" w:rsidRDefault="00973289">
      <w:pPr>
        <w:rPr>
          <w:b/>
          <w:bCs/>
        </w:rPr>
      </w:pPr>
      <w:r>
        <w:rPr>
          <w:b/>
          <w:bCs/>
        </w:rPr>
        <w:br w:type="page"/>
      </w:r>
    </w:p>
    <w:p w14:paraId="739CDB22" w14:textId="1E05F8AE" w:rsidR="00973289" w:rsidRPr="00973289" w:rsidRDefault="00973289" w:rsidP="00973289">
      <w:pPr>
        <w:pStyle w:val="Overskrift3"/>
      </w:pPr>
      <w:r>
        <w:lastRenderedPageBreak/>
        <w:t>Øvelse i l</w:t>
      </w:r>
      <w:r w:rsidRPr="00973289">
        <w:t>oading af gel</w:t>
      </w:r>
    </w:p>
    <w:p w14:paraId="150D2D13" w14:textId="29037913" w:rsidR="00973289" w:rsidRDefault="00973289" w:rsidP="00973289">
      <w:r>
        <w:t>Først skal I øve jer i, hvordan man loader en gel, (dvs. tilsætter væske til brøndene i en jeres gel).</w:t>
      </w:r>
    </w:p>
    <w:p w14:paraId="0B75D3DD" w14:textId="224EC7DA" w:rsidR="00973289" w:rsidRDefault="00973289" w:rsidP="00973289">
      <w:r>
        <w:t xml:space="preserve">I får udleveret 6 eppendorfrør mærket A-F. I eppendorfrørene er der en blå væske uden DNA. DNA-prøverne er dyre, og derfor skal I først øve jer i, hvordan man loader en gel. Efterfølgende laver vi i fællesskab 2 geler med de rigtige DNA-prøver. </w:t>
      </w:r>
    </w:p>
    <w:p w14:paraId="576FC170" w14:textId="17F0DD72" w:rsidR="00973289" w:rsidRDefault="00973289" w:rsidP="00973289">
      <w:pPr>
        <w:pStyle w:val="Listeafsnit"/>
        <w:numPr>
          <w:ilvl w:val="0"/>
          <w:numId w:val="6"/>
        </w:numPr>
      </w:pPr>
      <w:r>
        <w:t>Tag forsigtigt den blå kam op af gelen, og fjern meget forsigtigt de sorte klodser. Gelen kan let gå i stykker. Man kan evt. løsne gelen fra de sorte klodser, ved at ”køre” en pipettespids langs kanten af den sorte klods. (Se lærerens instruktion).</w:t>
      </w:r>
    </w:p>
    <w:p w14:paraId="030FE9A2" w14:textId="0E6C1617" w:rsidR="00973289" w:rsidRDefault="00973289" w:rsidP="00973289">
      <w:pPr>
        <w:pStyle w:val="Listeafsnit"/>
        <w:numPr>
          <w:ilvl w:val="0"/>
          <w:numId w:val="6"/>
        </w:numPr>
      </w:pPr>
      <w:r>
        <w:t xml:space="preserve">Sug hele indholdet fra </w:t>
      </w:r>
      <w:r>
        <w:t xml:space="preserve">eppendorfrør </w:t>
      </w:r>
      <w:r>
        <w:t xml:space="preserve">A op med en pipette (i alt er der 42 </w:t>
      </w:r>
      <w:r>
        <w:rPr>
          <w:rFonts w:cstheme="minorHAnsi"/>
        </w:rPr>
        <w:t>µ</w:t>
      </w:r>
      <w:r>
        <w:t>l</w:t>
      </w:r>
      <w:r>
        <w:t>).</w:t>
      </w:r>
    </w:p>
    <w:p w14:paraId="14828D33" w14:textId="1CD879D3" w:rsidR="00973289" w:rsidRDefault="00973289" w:rsidP="00973289">
      <w:pPr>
        <w:pStyle w:val="Listeafsnit"/>
        <w:numPr>
          <w:ilvl w:val="0"/>
          <w:numId w:val="6"/>
        </w:numPr>
      </w:pPr>
      <w:r>
        <w:t>Tilsæt indholdet til den første brønd i gelen. (Den længst til venstre. Se billedet).</w:t>
      </w:r>
      <w:r>
        <w:t xml:space="preserve"> (Hvis der er mere væske i pipetten, end brønden kan indeholde, skal du stoppe inden væsken flyder over.</w:t>
      </w:r>
    </w:p>
    <w:p w14:paraId="37C64BD9" w14:textId="6BEFD722" w:rsidR="00973289" w:rsidRDefault="00973289" w:rsidP="00973289">
      <w:pPr>
        <w:pStyle w:val="Listeafsnit"/>
        <w:numPr>
          <w:ilvl w:val="0"/>
          <w:numId w:val="6"/>
        </w:numPr>
      </w:pPr>
      <w:r>
        <w:t>Vær forsigtig, når du tilsætter prøven. Pipettespidsen må IKKE røre gelen, da gelen let går i stykker</w:t>
      </w:r>
    </w:p>
    <w:p w14:paraId="6F6F8A7C" w14:textId="77777777" w:rsidR="00973289" w:rsidRDefault="00973289" w:rsidP="00973289">
      <w:pPr>
        <w:pStyle w:val="Listeafsnit"/>
      </w:pPr>
      <w:r>
        <w:rPr>
          <w:noProof/>
          <w:lang w:eastAsia="da-DK"/>
        </w:rPr>
        <w:drawing>
          <wp:inline distT="0" distB="0" distL="0" distR="0" wp14:anchorId="248FD880" wp14:editId="3D7172B4">
            <wp:extent cx="2256929" cy="2037050"/>
            <wp:effectExtent l="0" t="0" r="0" b="1905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snip.pn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5" t="10038" r="15631"/>
                    <a:stretch/>
                  </pic:blipFill>
                  <pic:spPr bwMode="auto">
                    <a:xfrm>
                      <a:off x="0" y="0"/>
                      <a:ext cx="2259856" cy="20396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20A74B" w14:textId="7B66C282" w:rsidR="00973289" w:rsidRDefault="00973289" w:rsidP="00973289">
      <w:pPr>
        <w:pStyle w:val="Listeafsnit"/>
        <w:numPr>
          <w:ilvl w:val="0"/>
          <w:numId w:val="6"/>
        </w:numPr>
      </w:pPr>
      <w:r>
        <w:rPr>
          <w:b/>
        </w:rPr>
        <w:t>”Skyd” den brugte pipettespids i skraldespanden/ eller i et bægerglas</w:t>
      </w:r>
      <w:r>
        <w:rPr>
          <w:b/>
        </w:rPr>
        <w:t xml:space="preserve"> til affald</w:t>
      </w:r>
      <w:r>
        <w:rPr>
          <w:b/>
        </w:rPr>
        <w:t>.</w:t>
      </w:r>
    </w:p>
    <w:p w14:paraId="70BE9F9E" w14:textId="3C8A565F" w:rsidR="00973289" w:rsidRDefault="00973289" w:rsidP="00973289">
      <w:pPr>
        <w:pStyle w:val="Listeafsnit"/>
        <w:numPr>
          <w:ilvl w:val="0"/>
          <w:numId w:val="6"/>
        </w:numPr>
      </w:pPr>
      <w:r w:rsidRPr="00F42F18">
        <w:rPr>
          <w:b/>
          <w:bCs/>
        </w:rPr>
        <w:t>Sæt en ny pipettespids på pipetten</w:t>
      </w:r>
      <w:r>
        <w:t xml:space="preserve"> og gentag punkt </w:t>
      </w:r>
      <w:r>
        <w:t>1-2</w:t>
      </w:r>
      <w:r>
        <w:t xml:space="preserve"> med </w:t>
      </w:r>
      <w:r>
        <w:t>eppendorfrør</w:t>
      </w:r>
      <w:r>
        <w:t xml:space="preserve"> B.</w:t>
      </w:r>
    </w:p>
    <w:p w14:paraId="5BFE5327" w14:textId="77777777" w:rsidR="00973289" w:rsidRDefault="00973289" w:rsidP="00973289">
      <w:pPr>
        <w:pStyle w:val="Listeafsnit"/>
        <w:numPr>
          <w:ilvl w:val="0"/>
          <w:numId w:val="6"/>
        </w:numPr>
      </w:pPr>
      <w:r>
        <w:t xml:space="preserve">Tilsæt indholdet til den anden brønd i gelen. </w:t>
      </w:r>
    </w:p>
    <w:p w14:paraId="46C8E898" w14:textId="77777777" w:rsidR="00973289" w:rsidRPr="00A63D1B" w:rsidRDefault="00973289" w:rsidP="00973289">
      <w:pPr>
        <w:pStyle w:val="Listeafsnit"/>
        <w:numPr>
          <w:ilvl w:val="0"/>
          <w:numId w:val="6"/>
        </w:numPr>
      </w:pPr>
      <w:r>
        <w:t xml:space="preserve">Fortsæt med de øvrige prøver og tilsæt dem til en ny brønd hver gang. (Se den røde pil på billedet ovenfor). </w:t>
      </w:r>
      <w:r w:rsidRPr="00A63D1B">
        <w:rPr>
          <w:b/>
        </w:rPr>
        <w:t>SKIFT PIPETTESPIDS MELLEM HVER PRØVE!</w:t>
      </w:r>
    </w:p>
    <w:p w14:paraId="4D4B12A0" w14:textId="68928596" w:rsidR="00973289" w:rsidRDefault="00973289" w:rsidP="00973289">
      <w:pPr>
        <w:pStyle w:val="Overskrift3"/>
      </w:pPr>
      <w:r>
        <w:t>DNA-prøverne</w:t>
      </w:r>
    </w:p>
    <w:p w14:paraId="673664B6" w14:textId="22205434" w:rsidR="00E204C5" w:rsidRDefault="00E204C5" w:rsidP="00E204C5">
      <w:pPr>
        <w:rPr>
          <w:b/>
          <w:bCs/>
        </w:rPr>
      </w:pPr>
      <w:r w:rsidRPr="00973289">
        <w:rPr>
          <w:b/>
          <w:bCs/>
        </w:rPr>
        <w:t>Tilsæt Uview 6x loading dye til prøverne</w:t>
      </w:r>
      <w:r w:rsidR="00F42F18" w:rsidRPr="00973289">
        <w:rPr>
          <w:b/>
          <w:bCs/>
        </w:rPr>
        <w:t xml:space="preserve"> + </w:t>
      </w:r>
      <w:r w:rsidR="00F42F18" w:rsidRPr="00973289">
        <w:rPr>
          <w:b/>
          <w:bCs/>
        </w:rPr>
        <w:t>Loading af gel</w:t>
      </w:r>
    </w:p>
    <w:p w14:paraId="165F0647" w14:textId="147B0631" w:rsidR="00973289" w:rsidRPr="00973289" w:rsidRDefault="00973289" w:rsidP="00E204C5">
      <w:r>
        <w:t>Nu skal de rigtige DNA-prøver tilsættes til nye geler (2 geler i alt).</w:t>
      </w:r>
    </w:p>
    <w:p w14:paraId="2CC29800" w14:textId="2D014CF1" w:rsidR="00E204C5" w:rsidRPr="001F5D8D" w:rsidRDefault="000F1FBB" w:rsidP="00973289">
      <w:pPr>
        <w:pStyle w:val="Listeafsnit"/>
        <w:numPr>
          <w:ilvl w:val="0"/>
          <w:numId w:val="7"/>
        </w:numPr>
      </w:pPr>
      <w:r>
        <w:t>Tilsæt 3</w:t>
      </w:r>
      <w:r w:rsidR="00E204C5">
        <w:t xml:space="preserve"> </w:t>
      </w:r>
      <w:r w:rsidR="00E204C5">
        <w:rPr>
          <w:rFonts w:cstheme="minorHAnsi"/>
        </w:rPr>
        <w:t>µ</w:t>
      </w:r>
      <w:r w:rsidR="00E204C5">
        <w:t>l Uview 6x loading dye til DNA-prøve</w:t>
      </w:r>
      <w:r w:rsidR="00F42F18">
        <w:t xml:space="preserve"> A</w:t>
      </w:r>
      <w:r w:rsidR="00E204C5">
        <w:t xml:space="preserve">, ved at perforere folien. Sug op og ned med pipetten et par gange, for at blande prøven med Uview. </w:t>
      </w:r>
    </w:p>
    <w:p w14:paraId="09356EA6" w14:textId="4AE81029" w:rsidR="00E204C5" w:rsidRDefault="001F5D8D" w:rsidP="00973289">
      <w:pPr>
        <w:pStyle w:val="Listeafsnit"/>
        <w:numPr>
          <w:ilvl w:val="0"/>
          <w:numId w:val="7"/>
        </w:numPr>
      </w:pPr>
      <w:r>
        <w:t xml:space="preserve">Sug hele indholdet fra </w:t>
      </w:r>
      <w:r w:rsidR="00973289">
        <w:t>DNA-</w:t>
      </w:r>
      <w:r>
        <w:t>prøve</w:t>
      </w:r>
      <w:r w:rsidR="00973289">
        <w:t xml:space="preserve"> </w:t>
      </w:r>
      <w:r>
        <w:t>A op med pipette</w:t>
      </w:r>
      <w:r w:rsidR="00973289">
        <w:t>n</w:t>
      </w:r>
      <w:r>
        <w:t xml:space="preserve"> (i alt er der 42 </w:t>
      </w:r>
      <w:r>
        <w:rPr>
          <w:rFonts w:cstheme="minorHAnsi"/>
        </w:rPr>
        <w:t>µ</w:t>
      </w:r>
      <w:r>
        <w:t>l, efter vi har tilsat Uview 6x loading dye).</w:t>
      </w:r>
    </w:p>
    <w:p w14:paraId="61E298EA" w14:textId="77777777" w:rsidR="001F5D8D" w:rsidRDefault="001F5D8D" w:rsidP="00973289">
      <w:pPr>
        <w:pStyle w:val="Listeafsnit"/>
        <w:numPr>
          <w:ilvl w:val="0"/>
          <w:numId w:val="7"/>
        </w:numPr>
      </w:pPr>
      <w:r>
        <w:t>Tilsæt indholdet til den første brønd i gelen. (Den længst til venstre. Se billedet).</w:t>
      </w:r>
    </w:p>
    <w:p w14:paraId="4D113534" w14:textId="77777777" w:rsidR="001F5D8D" w:rsidRDefault="001F5D8D" w:rsidP="001F5D8D">
      <w:pPr>
        <w:pStyle w:val="Listeafsnit"/>
      </w:pPr>
      <w:r>
        <w:rPr>
          <w:noProof/>
          <w:lang w:eastAsia="da-DK"/>
        </w:rPr>
        <w:lastRenderedPageBreak/>
        <w:drawing>
          <wp:inline distT="0" distB="0" distL="0" distR="0" wp14:anchorId="1429D5CD" wp14:editId="23FBDB09">
            <wp:extent cx="2256929" cy="2037050"/>
            <wp:effectExtent l="0" t="0" r="0" b="190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snip.pn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55" t="10038" r="15631"/>
                    <a:stretch/>
                  </pic:blipFill>
                  <pic:spPr bwMode="auto">
                    <a:xfrm>
                      <a:off x="0" y="0"/>
                      <a:ext cx="2259856" cy="20396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5CAD3E" w14:textId="4856DD15" w:rsidR="00F42F18" w:rsidRDefault="00F42F18" w:rsidP="00973289">
      <w:pPr>
        <w:pStyle w:val="Listeafsnit"/>
        <w:numPr>
          <w:ilvl w:val="0"/>
          <w:numId w:val="7"/>
        </w:numPr>
      </w:pPr>
      <w:r>
        <w:rPr>
          <w:b/>
        </w:rPr>
        <w:t>”Skyd” den brugte pipettespids i skraldespanden/ eller i et bægerglas.</w:t>
      </w:r>
    </w:p>
    <w:p w14:paraId="2832F0D2" w14:textId="0B98CAD8" w:rsidR="00CF0D8F" w:rsidRDefault="00F42F18" w:rsidP="00973289">
      <w:pPr>
        <w:pStyle w:val="Listeafsnit"/>
        <w:numPr>
          <w:ilvl w:val="0"/>
          <w:numId w:val="7"/>
        </w:numPr>
      </w:pPr>
      <w:r w:rsidRPr="00F42F18">
        <w:rPr>
          <w:b/>
          <w:bCs/>
        </w:rPr>
        <w:t>Sæt en ny</w:t>
      </w:r>
      <w:r w:rsidR="001F5D8D" w:rsidRPr="00F42F18">
        <w:rPr>
          <w:b/>
          <w:bCs/>
        </w:rPr>
        <w:t xml:space="preserve"> pipettespids</w:t>
      </w:r>
      <w:r w:rsidRPr="00F42F18">
        <w:rPr>
          <w:b/>
          <w:bCs/>
        </w:rPr>
        <w:t xml:space="preserve"> på pipetten</w:t>
      </w:r>
      <w:r w:rsidR="001F5D8D">
        <w:t xml:space="preserve"> og </w:t>
      </w:r>
      <w:r>
        <w:t xml:space="preserve">gentag punkt </w:t>
      </w:r>
      <w:r w:rsidR="00973289">
        <w:t>1-2</w:t>
      </w:r>
      <w:r>
        <w:t xml:space="preserve"> med DNA-prøve B.</w:t>
      </w:r>
    </w:p>
    <w:p w14:paraId="454D7577" w14:textId="77777777" w:rsidR="00A63D1B" w:rsidRDefault="00A63D1B" w:rsidP="00973289">
      <w:pPr>
        <w:pStyle w:val="Listeafsnit"/>
        <w:numPr>
          <w:ilvl w:val="0"/>
          <w:numId w:val="7"/>
        </w:numPr>
      </w:pPr>
      <w:r>
        <w:t xml:space="preserve">Tilsæt indholdet til den anden brønd i gelen. </w:t>
      </w:r>
    </w:p>
    <w:p w14:paraId="47A03384" w14:textId="77777777" w:rsidR="00A63D1B" w:rsidRPr="00A63D1B" w:rsidRDefault="00A63D1B" w:rsidP="00973289">
      <w:pPr>
        <w:pStyle w:val="Listeafsnit"/>
        <w:numPr>
          <w:ilvl w:val="0"/>
          <w:numId w:val="7"/>
        </w:numPr>
      </w:pPr>
      <w:r>
        <w:t xml:space="preserve">Fortsæt med de øvrige prøver og tilsæt dem til en ny brønd hver gang. (Se den røde pil på billedet ovenfor). </w:t>
      </w:r>
      <w:r w:rsidRPr="00A63D1B">
        <w:rPr>
          <w:b/>
        </w:rPr>
        <w:t>SKIFT PIPETTESPIDS MELLEM HVER PRØVE!</w:t>
      </w:r>
    </w:p>
    <w:p w14:paraId="67E52E43" w14:textId="77777777" w:rsidR="00A63D1B" w:rsidRPr="00A63D1B" w:rsidRDefault="005A65AF" w:rsidP="00973289">
      <w:pPr>
        <w:pStyle w:val="Listeafsnit"/>
        <w:numPr>
          <w:ilvl w:val="0"/>
          <w:numId w:val="7"/>
        </w:numPr>
      </w:pPr>
      <w:r>
        <w:t>Lav</w:t>
      </w:r>
      <w:r w:rsidR="00A63D1B">
        <w:t xml:space="preserve"> et skema, der viser hvilken prøve I har sat hvor på gelen.</w:t>
      </w:r>
    </w:p>
    <w:p w14:paraId="5E2C9BFA" w14:textId="77777777" w:rsidR="00A63D1B" w:rsidRDefault="00A63D1B" w:rsidP="00973289">
      <w:pPr>
        <w:pStyle w:val="Listeafsnit"/>
        <w:numPr>
          <w:ilvl w:val="0"/>
          <w:numId w:val="7"/>
        </w:numPr>
      </w:pPr>
      <w:r>
        <w:t>Når gelen er loaded med alle 6 prøver, Sætter I gel + holder ned i elektroforesekarret. Husk at vende gelen den rigtige vej. DNA er negativt ladet, og vandrer mod den positive (røde) elektrode.</w:t>
      </w:r>
    </w:p>
    <w:p w14:paraId="7068A547" w14:textId="7F7B22E1" w:rsidR="00A63D1B" w:rsidRDefault="00A63D1B" w:rsidP="00973289">
      <w:pPr>
        <w:pStyle w:val="Listeafsnit"/>
        <w:numPr>
          <w:ilvl w:val="0"/>
          <w:numId w:val="7"/>
        </w:numPr>
      </w:pPr>
      <w:r>
        <w:t xml:space="preserve">Når </w:t>
      </w:r>
      <w:r w:rsidR="00F42F18">
        <w:t>begge</w:t>
      </w:r>
      <w:r>
        <w:t xml:space="preserve"> geler er på plads, hælder læreren elektroforesebuffer i karret. </w:t>
      </w:r>
    </w:p>
    <w:p w14:paraId="79997E5D" w14:textId="77777777" w:rsidR="00A63D1B" w:rsidRDefault="00A63D1B" w:rsidP="00973289">
      <w:pPr>
        <w:pStyle w:val="Listeafsnit"/>
        <w:numPr>
          <w:ilvl w:val="0"/>
          <w:numId w:val="7"/>
        </w:numPr>
      </w:pPr>
      <w:r>
        <w:t xml:space="preserve">Der sættes låg på karret, og strømmen tilsluttes. </w:t>
      </w:r>
    </w:p>
    <w:p w14:paraId="1091B371" w14:textId="77777777" w:rsidR="00A63D1B" w:rsidRDefault="00A63D1B" w:rsidP="00973289">
      <w:pPr>
        <w:pStyle w:val="Listeafsnit"/>
        <w:numPr>
          <w:ilvl w:val="0"/>
          <w:numId w:val="7"/>
        </w:numPr>
      </w:pPr>
      <w:r>
        <w:t xml:space="preserve">Når den blå farve er ved at nå bunden af gelen, afbrydes strømmen. </w:t>
      </w:r>
    </w:p>
    <w:p w14:paraId="5053F4E1" w14:textId="527F51C5" w:rsidR="00F42F18" w:rsidRDefault="00A63D1B" w:rsidP="00973289">
      <w:pPr>
        <w:pStyle w:val="Listeafsnit"/>
        <w:numPr>
          <w:ilvl w:val="0"/>
          <w:numId w:val="7"/>
        </w:numPr>
      </w:pPr>
      <w:r>
        <w:t xml:space="preserve">Gelen kan nu analyseres under UV-lys. </w:t>
      </w:r>
      <w:r w:rsidRPr="00A63D1B">
        <w:rPr>
          <w:b/>
        </w:rPr>
        <w:t>ALLE tager et billede a</w:t>
      </w:r>
      <w:r w:rsidR="00973289">
        <w:rPr>
          <w:b/>
        </w:rPr>
        <w:t>f</w:t>
      </w:r>
      <w:r w:rsidRPr="00A63D1B">
        <w:rPr>
          <w:b/>
        </w:rPr>
        <w:t xml:space="preserve"> ge</w:t>
      </w:r>
      <w:r w:rsidR="00973289">
        <w:rPr>
          <w:b/>
        </w:rPr>
        <w:t>lerne.</w:t>
      </w:r>
    </w:p>
    <w:p w14:paraId="7F04091A" w14:textId="4BEFF9EE" w:rsidR="0023302E" w:rsidRDefault="0023302E" w:rsidP="00F42F18">
      <w:pPr>
        <w:pStyle w:val="Overskrift2"/>
      </w:pPr>
      <w:r>
        <w:t>Resultater</w:t>
      </w:r>
    </w:p>
    <w:p w14:paraId="58DE3489" w14:textId="3F95AC13" w:rsidR="008A232F" w:rsidRPr="008A232F" w:rsidRDefault="008A232F" w:rsidP="008A232F">
      <w:r>
        <w:t>Indsæt et billede af gel</w:t>
      </w:r>
      <w:r w:rsidR="00F42F18">
        <w:t>en her.</w:t>
      </w:r>
    </w:p>
    <w:p w14:paraId="5F9262FB" w14:textId="77777777" w:rsidR="0023302E" w:rsidRDefault="0023302E" w:rsidP="0023302E">
      <w:pPr>
        <w:pStyle w:val="Overskrift2"/>
      </w:pPr>
      <w:r>
        <w:t>Diskussion og konklusion</w:t>
      </w:r>
    </w:p>
    <w:p w14:paraId="0DEC10A7" w14:textId="15E66038" w:rsidR="0023302E" w:rsidRDefault="008A232F">
      <w:r>
        <w:t>Forklar resultater</w:t>
      </w:r>
      <w:r w:rsidR="00623476">
        <w:t xml:space="preserve">ne på </w:t>
      </w:r>
      <w:r w:rsidR="00F42F18">
        <w:t>gelen</w:t>
      </w:r>
      <w:r w:rsidR="00623476">
        <w:t xml:space="preserve"> </w:t>
      </w:r>
      <w:r w:rsidR="00C201D1">
        <w:t>GRUNDIGT. Husk at argumentere for det du skriver. A</w:t>
      </w:r>
      <w:r w:rsidR="00623476">
        <w:t>fslut med en</w:t>
      </w:r>
      <w:r>
        <w:t xml:space="preserve"> samlet konklusion.</w:t>
      </w:r>
    </w:p>
    <w:p w14:paraId="34478580" w14:textId="77777777" w:rsidR="0023302E" w:rsidRDefault="0023302E"/>
    <w:p w14:paraId="36D94722" w14:textId="77777777" w:rsidR="001F4CA5" w:rsidRDefault="001F4CA5"/>
    <w:p w14:paraId="72C5DDED" w14:textId="77777777" w:rsidR="00C201D1" w:rsidRDefault="00C201D1" w:rsidP="006B1728">
      <w:pPr>
        <w:pStyle w:val="Overskrift2"/>
      </w:pPr>
    </w:p>
    <w:p w14:paraId="488AAFB4" w14:textId="6E55F5DC" w:rsidR="001F4CA5" w:rsidRDefault="006B1728" w:rsidP="006B1728">
      <w:pPr>
        <w:pStyle w:val="Overskrift2"/>
      </w:pPr>
      <w:r>
        <w:t>Kilder</w:t>
      </w:r>
    </w:p>
    <w:p w14:paraId="0B8369C1" w14:textId="77777777" w:rsidR="006B1728" w:rsidRDefault="003A4802" w:rsidP="006B1728">
      <w:hyperlink r:id="rId15" w:history="1">
        <w:r w:rsidR="006B1728" w:rsidRPr="000D5D21">
          <w:rPr>
            <w:rStyle w:val="Hyperlink"/>
          </w:rPr>
          <w:t>https://evolution.berkeley.edu/evolibrary/article/mutations_06</w:t>
        </w:r>
      </w:hyperlink>
    </w:p>
    <w:p w14:paraId="4B7CD107" w14:textId="77777777" w:rsidR="00D17098" w:rsidRPr="000F1FBB" w:rsidRDefault="00D17098" w:rsidP="00D17098">
      <w:pPr>
        <w:rPr>
          <w:lang w:val="en-US"/>
        </w:rPr>
      </w:pPr>
      <w:r w:rsidRPr="000F1FBB">
        <w:rPr>
          <w:lang w:val="en-US"/>
        </w:rPr>
        <w:t>Edvo-Kit #116</w:t>
      </w:r>
    </w:p>
    <w:p w14:paraId="0E6BD110" w14:textId="77777777" w:rsidR="00D17098" w:rsidRPr="000F1FBB" w:rsidRDefault="003A4802" w:rsidP="00D17098">
      <w:pPr>
        <w:rPr>
          <w:lang w:val="en-US"/>
        </w:rPr>
      </w:pPr>
      <w:hyperlink r:id="rId16" w:history="1">
        <w:r w:rsidR="00D17098" w:rsidRPr="000F1FBB">
          <w:rPr>
            <w:rStyle w:val="Hyperlink"/>
            <w:lang w:val="en-US"/>
          </w:rPr>
          <w:t>https://aarhushfogvuc.dk/sites/default/files/bioc-blabkursusvejl2017-18.pdf</w:t>
        </w:r>
      </w:hyperlink>
    </w:p>
    <w:p w14:paraId="59400C48" w14:textId="77777777" w:rsidR="006B1728" w:rsidRPr="000F1FBB" w:rsidRDefault="006B1728" w:rsidP="006B1728">
      <w:pPr>
        <w:rPr>
          <w:lang w:val="en-US"/>
        </w:rPr>
      </w:pPr>
    </w:p>
    <w:sectPr w:rsidR="006B1728" w:rsidRPr="000F1FB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273F4" w14:textId="77777777" w:rsidR="003A4802" w:rsidRDefault="003A4802" w:rsidP="00446854">
      <w:pPr>
        <w:spacing w:after="0" w:line="240" w:lineRule="auto"/>
      </w:pPr>
      <w:r>
        <w:separator/>
      </w:r>
    </w:p>
  </w:endnote>
  <w:endnote w:type="continuationSeparator" w:id="0">
    <w:p w14:paraId="1FC2A071" w14:textId="77777777" w:rsidR="003A4802" w:rsidRDefault="003A4802" w:rsidP="0044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75624" w14:textId="77777777" w:rsidR="003A4802" w:rsidRDefault="003A4802" w:rsidP="00446854">
      <w:pPr>
        <w:spacing w:after="0" w:line="240" w:lineRule="auto"/>
      </w:pPr>
      <w:r>
        <w:separator/>
      </w:r>
    </w:p>
  </w:footnote>
  <w:footnote w:type="continuationSeparator" w:id="0">
    <w:p w14:paraId="06FC099C" w14:textId="77777777" w:rsidR="003A4802" w:rsidRDefault="003A4802" w:rsidP="00446854">
      <w:pPr>
        <w:spacing w:after="0" w:line="240" w:lineRule="auto"/>
      </w:pPr>
      <w:r>
        <w:continuationSeparator/>
      </w:r>
    </w:p>
  </w:footnote>
  <w:footnote w:id="1">
    <w:p w14:paraId="493C932C" w14:textId="5B3D06B2" w:rsidR="00446854" w:rsidRDefault="00446854">
      <w:pPr>
        <w:pStyle w:val="Fodnotetekst"/>
      </w:pPr>
      <w:r>
        <w:rPr>
          <w:rStyle w:val="Fodnotehenvisning"/>
        </w:rPr>
        <w:footnoteRef/>
      </w:r>
      <w:r>
        <w:t xml:space="preserve"> Det normale hæmoglobinmolekyle.</w:t>
      </w:r>
    </w:p>
  </w:footnote>
  <w:footnote w:id="2">
    <w:p w14:paraId="263D9AC4" w14:textId="77777777" w:rsidR="00E0050C" w:rsidRDefault="00E0050C" w:rsidP="00E0050C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>
        <w:rPr>
          <w:rFonts w:cstheme="minorHAnsi"/>
        </w:rPr>
        <w:t>α er det græske bogstav alfa</w:t>
      </w:r>
    </w:p>
  </w:footnote>
  <w:footnote w:id="3">
    <w:p w14:paraId="263D545E" w14:textId="77777777" w:rsidR="00E0050C" w:rsidRDefault="00E0050C" w:rsidP="00E0050C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>
        <w:rPr>
          <w:rFonts w:cstheme="minorHAnsi"/>
        </w:rPr>
        <w:t>β er det græske bogstav beta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85E4E"/>
    <w:multiLevelType w:val="hybridMultilevel"/>
    <w:tmpl w:val="4D5E5EB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8057E"/>
    <w:multiLevelType w:val="hybridMultilevel"/>
    <w:tmpl w:val="4D5E5EBC"/>
    <w:lvl w:ilvl="0" w:tplc="0406000F">
      <w:start w:val="1"/>
      <w:numFmt w:val="decimal"/>
      <w:lvlText w:val="%1."/>
      <w:lvlJc w:val="left"/>
      <w:pPr>
        <w:ind w:left="644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12E67"/>
    <w:multiLevelType w:val="hybridMultilevel"/>
    <w:tmpl w:val="6526BF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86E5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57E51"/>
    <w:multiLevelType w:val="hybridMultilevel"/>
    <w:tmpl w:val="5AB2E88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96D8B"/>
    <w:multiLevelType w:val="hybridMultilevel"/>
    <w:tmpl w:val="4D5E5EBC"/>
    <w:lvl w:ilvl="0" w:tplc="0406000F">
      <w:start w:val="1"/>
      <w:numFmt w:val="decimal"/>
      <w:lvlText w:val="%1."/>
      <w:lvlJc w:val="left"/>
      <w:pPr>
        <w:ind w:left="644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C0789"/>
    <w:multiLevelType w:val="hybridMultilevel"/>
    <w:tmpl w:val="97FADC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E035D5"/>
    <w:multiLevelType w:val="hybridMultilevel"/>
    <w:tmpl w:val="EF20241C"/>
    <w:lvl w:ilvl="0" w:tplc="BE741DA4">
      <w:start w:val="1"/>
      <w:numFmt w:val="decimal"/>
      <w:lvlText w:val="%1."/>
      <w:lvlJc w:val="left"/>
      <w:pPr>
        <w:ind w:left="1512" w:hanging="360"/>
      </w:pPr>
      <w:rPr>
        <w:rFonts w:ascii="Arial" w:eastAsia="Arial" w:hAnsi="Arial" w:cs="Arial" w:hint="default"/>
        <w:color w:val="231F20"/>
        <w:w w:val="93"/>
        <w:sz w:val="20"/>
        <w:szCs w:val="20"/>
        <w:lang w:val="en-US" w:eastAsia="en-US" w:bidi="en-US"/>
      </w:rPr>
    </w:lvl>
    <w:lvl w:ilvl="1" w:tplc="6CCEB814">
      <w:numFmt w:val="bullet"/>
      <w:lvlText w:val="•"/>
      <w:lvlJc w:val="left"/>
      <w:pPr>
        <w:ind w:left="2232" w:hanging="360"/>
      </w:pPr>
      <w:rPr>
        <w:rFonts w:ascii="Arial" w:eastAsia="Arial" w:hAnsi="Arial" w:cs="Arial" w:hint="default"/>
        <w:color w:val="231F20"/>
        <w:w w:val="92"/>
        <w:sz w:val="20"/>
        <w:szCs w:val="20"/>
        <w:lang w:val="en-US" w:eastAsia="en-US" w:bidi="en-US"/>
      </w:rPr>
    </w:lvl>
    <w:lvl w:ilvl="2" w:tplc="4BD6AC9E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en-US"/>
      </w:rPr>
    </w:lvl>
    <w:lvl w:ilvl="3" w:tplc="958C91FC">
      <w:numFmt w:val="bullet"/>
      <w:lvlText w:val="•"/>
      <w:lvlJc w:val="left"/>
      <w:pPr>
        <w:ind w:left="4462" w:hanging="360"/>
      </w:pPr>
      <w:rPr>
        <w:rFonts w:hint="default"/>
        <w:lang w:val="en-US" w:eastAsia="en-US" w:bidi="en-US"/>
      </w:rPr>
    </w:lvl>
    <w:lvl w:ilvl="4" w:tplc="18B8C53A">
      <w:numFmt w:val="bullet"/>
      <w:lvlText w:val="•"/>
      <w:lvlJc w:val="left"/>
      <w:pPr>
        <w:ind w:left="5573" w:hanging="360"/>
      </w:pPr>
      <w:rPr>
        <w:rFonts w:hint="default"/>
        <w:lang w:val="en-US" w:eastAsia="en-US" w:bidi="en-US"/>
      </w:rPr>
    </w:lvl>
    <w:lvl w:ilvl="5" w:tplc="DD5EF614">
      <w:numFmt w:val="bullet"/>
      <w:lvlText w:val="•"/>
      <w:lvlJc w:val="left"/>
      <w:pPr>
        <w:ind w:left="6684" w:hanging="360"/>
      </w:pPr>
      <w:rPr>
        <w:rFonts w:hint="default"/>
        <w:lang w:val="en-US" w:eastAsia="en-US" w:bidi="en-US"/>
      </w:rPr>
    </w:lvl>
    <w:lvl w:ilvl="6" w:tplc="229E52EE">
      <w:numFmt w:val="bullet"/>
      <w:lvlText w:val="•"/>
      <w:lvlJc w:val="left"/>
      <w:pPr>
        <w:ind w:left="7795" w:hanging="360"/>
      </w:pPr>
      <w:rPr>
        <w:rFonts w:hint="default"/>
        <w:lang w:val="en-US" w:eastAsia="en-US" w:bidi="en-US"/>
      </w:rPr>
    </w:lvl>
    <w:lvl w:ilvl="7" w:tplc="0CD47D40">
      <w:numFmt w:val="bullet"/>
      <w:lvlText w:val="•"/>
      <w:lvlJc w:val="left"/>
      <w:pPr>
        <w:ind w:left="8906" w:hanging="360"/>
      </w:pPr>
      <w:rPr>
        <w:rFonts w:hint="default"/>
        <w:lang w:val="en-US" w:eastAsia="en-US" w:bidi="en-US"/>
      </w:rPr>
    </w:lvl>
    <w:lvl w:ilvl="8" w:tplc="9AEA872A">
      <w:numFmt w:val="bullet"/>
      <w:lvlText w:val="•"/>
      <w:lvlJc w:val="left"/>
      <w:pPr>
        <w:ind w:left="10017" w:hanging="360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2E"/>
    <w:rsid w:val="000556C8"/>
    <w:rsid w:val="000F1FBB"/>
    <w:rsid w:val="00187DE1"/>
    <w:rsid w:val="001F4CA5"/>
    <w:rsid w:val="001F5D8D"/>
    <w:rsid w:val="0023302E"/>
    <w:rsid w:val="00293C0E"/>
    <w:rsid w:val="002D09D2"/>
    <w:rsid w:val="00331523"/>
    <w:rsid w:val="00345AD2"/>
    <w:rsid w:val="003A4802"/>
    <w:rsid w:val="00404349"/>
    <w:rsid w:val="00430131"/>
    <w:rsid w:val="00446854"/>
    <w:rsid w:val="00503D1E"/>
    <w:rsid w:val="005A65AF"/>
    <w:rsid w:val="00623476"/>
    <w:rsid w:val="006A12E7"/>
    <w:rsid w:val="006A7DD4"/>
    <w:rsid w:val="006B1728"/>
    <w:rsid w:val="006C4B9D"/>
    <w:rsid w:val="00877547"/>
    <w:rsid w:val="008A232F"/>
    <w:rsid w:val="008F7285"/>
    <w:rsid w:val="0090312E"/>
    <w:rsid w:val="00907FDB"/>
    <w:rsid w:val="00973289"/>
    <w:rsid w:val="00986C20"/>
    <w:rsid w:val="00A23C6C"/>
    <w:rsid w:val="00A5116A"/>
    <w:rsid w:val="00A63D1B"/>
    <w:rsid w:val="00BE0B06"/>
    <w:rsid w:val="00C201D1"/>
    <w:rsid w:val="00CD4EDE"/>
    <w:rsid w:val="00CF0D8F"/>
    <w:rsid w:val="00D15844"/>
    <w:rsid w:val="00D17098"/>
    <w:rsid w:val="00D96461"/>
    <w:rsid w:val="00DC38E7"/>
    <w:rsid w:val="00E0050C"/>
    <w:rsid w:val="00E204C5"/>
    <w:rsid w:val="00E21092"/>
    <w:rsid w:val="00E32DA7"/>
    <w:rsid w:val="00EF44C7"/>
    <w:rsid w:val="00F019CE"/>
    <w:rsid w:val="00F4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AA21D"/>
  <w15:docId w15:val="{5D67CB03-C2B8-46A6-8471-DED6CF22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330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330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23C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2330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2330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330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330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2330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3302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styleId="Listeafsnit">
    <w:name w:val="List Paragraph"/>
    <w:basedOn w:val="Normal"/>
    <w:uiPriority w:val="1"/>
    <w:qFormat/>
    <w:rsid w:val="006A7DD4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D96461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96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96461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link w:val="BrdtekstTegn"/>
    <w:uiPriority w:val="1"/>
    <w:qFormat/>
    <w:rsid w:val="008A232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 w:bidi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8A232F"/>
    <w:rPr>
      <w:rFonts w:ascii="Arial" w:eastAsia="Arial" w:hAnsi="Arial" w:cs="Arial"/>
      <w:sz w:val="20"/>
      <w:szCs w:val="20"/>
      <w:lang w:val="en-US" w:bidi="en-US"/>
    </w:rPr>
  </w:style>
  <w:style w:type="paragraph" w:styleId="Billedtekst">
    <w:name w:val="caption"/>
    <w:basedOn w:val="Normal"/>
    <w:next w:val="Normal"/>
    <w:uiPriority w:val="35"/>
    <w:unhideWhenUsed/>
    <w:qFormat/>
    <w:rsid w:val="0040434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6B1728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6B1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typeiafsnit"/>
    <w:link w:val="Overskrift3"/>
    <w:uiPriority w:val="9"/>
    <w:rsid w:val="00A23C6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446854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446854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4468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arhushfogvuc.dk/sites/default/files/bioc-blabkursusvejl2017-18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evolution.berkeley.edu/evolibrary/article/mutations_06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DA349-7CE6-40EC-ABBE-8C0F84F7D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1264</Words>
  <Characters>6627</Characters>
  <Application>Microsoft Office Word</Application>
  <DocSecurity>0</DocSecurity>
  <Lines>75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Møgelhøj</dc:creator>
  <cp:lastModifiedBy>Mia Møgelhøj</cp:lastModifiedBy>
  <cp:revision>3</cp:revision>
  <cp:lastPrinted>2019-10-01T06:39:00Z</cp:lastPrinted>
  <dcterms:created xsi:type="dcterms:W3CDTF">2020-11-18T14:06:00Z</dcterms:created>
  <dcterms:modified xsi:type="dcterms:W3CDTF">2020-11-18T14:29:00Z</dcterms:modified>
</cp:coreProperties>
</file>