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rPr/>
      </w:pPr>
      <w:r>
        <w:rPr/>
        <w:t>4 – Forløb: Ulighed, fattigdom, velfærdsstat og konkurrencestat (10, 11, 12)</w:t>
      </w:r>
    </w:p>
    <w:p>
      <w:pPr>
        <w:pStyle w:val="Normal"/>
        <w:rPr>
          <w:lang w:eastAsia="da-DK"/>
        </w:rPr>
      </w:pPr>
      <w:r>
        <w:rPr>
          <w:lang w:eastAsia="da-DK"/>
        </w:rPr>
        <w:t>Mundtlig eksamen for 3m SA</w:t>
      </w:r>
    </w:p>
    <w:p>
      <w:pPr>
        <w:pStyle w:val="Normal"/>
        <w:rPr>
          <w:lang w:eastAsia="da-DK"/>
        </w:rPr>
      </w:pPr>
      <w:r>
        <w:rPr>
          <w:lang w:eastAsia="da-DK"/>
        </w:rPr>
        <w:t>Roskilde Katedralskole</w:t>
      </w:r>
    </w:p>
    <w:p>
      <w:pPr>
        <w:pStyle w:val="Normal"/>
        <w:rPr>
          <w:lang w:eastAsia="da-DK"/>
        </w:rPr>
      </w:pPr>
      <w:r>
        <w:rPr>
          <w:lang w:eastAsia="da-DK"/>
        </w:rPr>
        <w:t>Sommer 2025</w:t>
      </w:r>
    </w:p>
    <w:p>
      <w:pPr>
        <w:pStyle w:val="Normal"/>
        <w:rPr>
          <w:lang w:eastAsia="da-DK"/>
        </w:rPr>
      </w:pPr>
      <w:r>
        <w:rPr>
          <w:lang w:eastAsia="da-DK"/>
        </w:rPr>
        <w:t>Underviser: David Grünhagen</w:t>
      </w:r>
    </w:p>
    <w:p>
      <w:pPr>
        <w:pStyle w:val="IntenseQuote"/>
        <w:suppressLineNumbers/>
        <w:jc w:val="left"/>
        <w:rPr>
          <w:b/>
        </w:rPr>
      </w:pPr>
      <w:r>
        <w:rPr>
          <w:b/>
        </w:rPr>
        <w:t>Stx-bekendtgørelsen), bilag 125:</w:t>
      </w:r>
    </w:p>
    <w:p>
      <w:pPr>
        <w:pStyle w:val="IntenseQuote"/>
        <w:suppressLineNumbers/>
        <w:jc w:val="left"/>
        <w:rPr/>
      </w:pPr>
      <w:r>
        <w:rPr/>
        <w:t xml:space="preserve">Eksaminationstiden er ca. 30 minutter pr. eksaminand. Der gives ca. 24 timers forberedelsestid, dog ikke mindre end 24 timer. På baggrund af det udleverede bilagsmateriale, relevant kernestof og </w:t>
      </w:r>
      <w:r>
        <w:rPr>
          <w:b/>
          <w:bCs/>
        </w:rPr>
        <w:t>materiale fundet i forberedelsestiden</w:t>
      </w:r>
      <w:r>
        <w:rPr/>
        <w:t xml:space="preserve"> skal eksaminanden udarbejde en synopsis med en problemformulering som et overordnet spørgsmål og i forlængelse heraf opstilling, undersøgelse og diskussion af samfundsfaglige problemstillinger. Eksaminander, der forbereder sig i en gruppe, vælger selv, om de vil udarbejde forskellige eller enslydende synopser. Eksaminationen, som er individuel, indledes med eksaminandens præsentation af synopsen (ca. 10 minutter) og efterfølges af uddybende spørgsmål af eksaminator og en faglig samtale mellem eksaminand og eksaminator.</w:t>
      </w:r>
    </w:p>
    <w:p>
      <w:pPr>
        <w:pStyle w:val="Normal"/>
        <w:rPr>
          <w:rFonts w:ascii="Candara" w:hAnsi="Candara"/>
          <w:sz w:val="20"/>
          <w:szCs w:val="20"/>
        </w:rPr>
      </w:pPr>
      <w:r>
        <w:rPr>
          <w:rFonts w:ascii="Candara" w:hAnsi="Candara"/>
          <w:sz w:val="20"/>
          <w:szCs w:val="20"/>
        </w:rPr>
        <w:t xml:space="preserve">HUSK: </w:t>
        <w:br/>
        <w:t>- medbring tre printede eksemplarer af din synopsis (et til eksaminator, et til censor og et til dig selv).</w:t>
        <w:br/>
        <w:t>- materiale fundet i forberedelsestiden SKAL vedlægges i selve synopsen.</w:t>
      </w:r>
    </w:p>
    <w:sdt>
      <w:sdtPr>
        <w:docPartObj>
          <w:docPartGallery w:val="Table of Contents"/>
          <w:docPartUnique w:val="true"/>
        </w:docPartObj>
      </w:sdtPr>
      <w:sdtContent>
        <w:p>
          <w:pPr>
            <w:pStyle w:val="TOCHeading"/>
            <w:rPr/>
          </w:pPr>
          <w:r>
            <w:rPr/>
            <w:t>Indholdsfortegnelse</w:t>
          </w:r>
        </w:p>
        <w:p>
          <w:pPr>
            <w:pStyle w:val="TOC2"/>
            <w:tabs>
              <w:tab w:val="clear" w:pos="1304"/>
              <w:tab w:val="right" w:pos="9736" w:leader="dot"/>
            </w:tabs>
            <w:rPr>
              <w:rFonts w:eastAsia="" w:eastAsiaTheme="minorEastAsia"/>
              <w:kern w:val="2"/>
              <w:sz w:val="24"/>
              <w:szCs w:val="24"/>
              <w:lang w:eastAsia="da-DK"/>
              <w14:ligatures w14:val="standardContextual"/>
            </w:rPr>
          </w:pPr>
          <w:r>
            <w:fldChar w:fldCharType="begin"/>
          </w:r>
          <w:r>
            <w:rPr>
              <w:webHidden/>
              <w:rStyle w:val="Registerlink"/>
            </w:rPr>
            <w:instrText xml:space="preserve"> TOC \z \o "1-3" \u \h</w:instrText>
          </w:r>
          <w:r>
            <w:rPr>
              <w:webHidden/>
              <w:rStyle w:val="Registerlink"/>
            </w:rPr>
            <w:fldChar w:fldCharType="separate"/>
          </w:r>
          <w:hyperlink w:anchor="_Toc200615912">
            <w:r>
              <w:rPr>
                <w:webHidden/>
                <w:rStyle w:val="Registerlink"/>
              </w:rPr>
              <w:t>Bilag 1. Indkomstudviklingen i Danmark 2013-2023.</w:t>
            </w:r>
            <w:r>
              <w:rPr>
                <w:webHidden/>
              </w:rPr>
              <w:fldChar w:fldCharType="begin"/>
            </w:r>
            <w:r>
              <w:rPr>
                <w:webHidden/>
              </w:rPr>
              <w:instrText xml:space="preserve">PAGEREF _Toc200615912 \h</w:instrText>
            </w:r>
            <w:r>
              <w:rPr>
                <w:webHidden/>
              </w:rPr>
              <w:fldChar w:fldCharType="separate"/>
            </w:r>
            <w:r>
              <w:rPr>
                <w:rStyle w:val="Registerlink"/>
                <w:vanish w:val="false"/>
              </w:rPr>
              <w:tab/>
              <w:t>2</w:t>
            </w:r>
            <w:r>
              <w:rPr>
                <w:webHidden/>
              </w:rPr>
              <w:fldChar w:fldCharType="end"/>
            </w:r>
          </w:hyperlink>
        </w:p>
        <w:p>
          <w:pPr>
            <w:pStyle w:val="TOC2"/>
            <w:tabs>
              <w:tab w:val="clear" w:pos="1304"/>
              <w:tab w:val="right" w:pos="9736" w:leader="dot"/>
            </w:tabs>
            <w:rPr>
              <w:rFonts w:eastAsia="" w:eastAsiaTheme="minorEastAsia"/>
              <w:kern w:val="2"/>
              <w:sz w:val="24"/>
              <w:szCs w:val="24"/>
              <w:lang w:eastAsia="da-DK"/>
              <w14:ligatures w14:val="standardContextual"/>
            </w:rPr>
          </w:pPr>
          <w:hyperlink w:anchor="_Toc200615913">
            <w:r>
              <w:rPr>
                <w:webHidden/>
                <w:rStyle w:val="Registerlink"/>
              </w:rPr>
              <w:t>Bilag 2: VIVE: Fattige familier lider store afsavn.</w:t>
            </w:r>
            <w:r>
              <w:rPr>
                <w:webHidden/>
              </w:rPr>
              <w:fldChar w:fldCharType="begin"/>
            </w:r>
            <w:r>
              <w:rPr>
                <w:webHidden/>
              </w:rPr>
              <w:instrText xml:space="preserve">PAGEREF _Toc200615913 \h</w:instrText>
            </w:r>
            <w:r>
              <w:rPr>
                <w:webHidden/>
              </w:rPr>
              <w:fldChar w:fldCharType="separate"/>
            </w:r>
            <w:r>
              <w:rPr>
                <w:rStyle w:val="Registerlink"/>
                <w:vanish w:val="false"/>
              </w:rPr>
              <w:tab/>
              <w:t>3</w:t>
            </w:r>
            <w:r>
              <w:rPr>
                <w:webHidden/>
              </w:rPr>
              <w:fldChar w:fldCharType="end"/>
            </w:r>
          </w:hyperlink>
        </w:p>
        <w:p>
          <w:pPr>
            <w:pStyle w:val="TOC2"/>
            <w:tabs>
              <w:tab w:val="clear" w:pos="1304"/>
              <w:tab w:val="right" w:pos="9736" w:leader="dot"/>
            </w:tabs>
            <w:rPr>
              <w:rFonts w:eastAsia="" w:eastAsiaTheme="minorEastAsia"/>
              <w:kern w:val="2"/>
              <w:sz w:val="24"/>
              <w:szCs w:val="24"/>
              <w:lang w:eastAsia="da-DK"/>
              <w14:ligatures w14:val="standardContextual"/>
            </w:rPr>
          </w:pPr>
          <w:hyperlink w:anchor="_Toc200615914">
            <w:r>
              <w:rPr>
                <w:webHidden/>
                <w:rStyle w:val="Registerlink"/>
              </w:rPr>
              <w:t>Bilag 3: Udvalgte figurer fra VIVE (2022): Børn og unge i Danmark. Velfærd og trivsel</w:t>
            </w:r>
            <w:r>
              <w:rPr>
                <w:webHidden/>
              </w:rPr>
              <w:fldChar w:fldCharType="begin"/>
            </w:r>
            <w:r>
              <w:rPr>
                <w:webHidden/>
              </w:rPr>
              <w:instrText xml:space="preserve">PAGEREF _Toc200615914 \h</w:instrText>
            </w:r>
            <w:r>
              <w:rPr>
                <w:webHidden/>
              </w:rPr>
              <w:fldChar w:fldCharType="separate"/>
            </w:r>
            <w:r>
              <w:rPr>
                <w:rStyle w:val="Registerlink"/>
                <w:vanish w:val="false"/>
              </w:rPr>
              <w:tab/>
              <w:t>4</w:t>
            </w:r>
            <w:r>
              <w:rPr>
                <w:webHidden/>
              </w:rPr>
              <w:fldChar w:fldCharType="end"/>
            </w:r>
          </w:hyperlink>
        </w:p>
        <w:p>
          <w:pPr>
            <w:pStyle w:val="TOC2"/>
            <w:tabs>
              <w:tab w:val="clear" w:pos="1304"/>
              <w:tab w:val="right" w:pos="9736" w:leader="dot"/>
            </w:tabs>
            <w:rPr>
              <w:rFonts w:eastAsia="" w:eastAsiaTheme="minorEastAsia"/>
              <w:kern w:val="2"/>
              <w:sz w:val="24"/>
              <w:szCs w:val="24"/>
              <w:lang w:eastAsia="da-DK"/>
              <w14:ligatures w14:val="standardContextual"/>
            </w:rPr>
          </w:pPr>
          <w:hyperlink w:anchor="_Toc200615915">
            <w:r>
              <w:rPr>
                <w:webHidden/>
                <w:rStyle w:val="Registerlink"/>
              </w:rPr>
              <w:t>Bilag 4: Figurer fra Arbejderbevægelsens Erhvervsråd</w:t>
            </w:r>
            <w:r>
              <w:rPr>
                <w:webHidden/>
              </w:rPr>
              <w:fldChar w:fldCharType="begin"/>
            </w:r>
            <w:r>
              <w:rPr>
                <w:webHidden/>
              </w:rPr>
              <w:instrText xml:space="preserve">PAGEREF _Toc200615915 \h</w:instrText>
            </w:r>
            <w:r>
              <w:rPr>
                <w:webHidden/>
              </w:rPr>
              <w:fldChar w:fldCharType="separate"/>
            </w:r>
            <w:r>
              <w:rPr>
                <w:rStyle w:val="Registerlink"/>
                <w:vanish w:val="false"/>
              </w:rPr>
              <w:tab/>
              <w:t>6</w:t>
            </w:r>
            <w:r>
              <w:rPr>
                <w:webHidden/>
              </w:rPr>
              <w:fldChar w:fldCharType="end"/>
            </w:r>
          </w:hyperlink>
        </w:p>
        <w:p>
          <w:pPr>
            <w:pStyle w:val="TOC2"/>
            <w:tabs>
              <w:tab w:val="clear" w:pos="1304"/>
              <w:tab w:val="right" w:pos="9736" w:leader="dot"/>
            </w:tabs>
            <w:rPr>
              <w:rFonts w:eastAsia="" w:eastAsiaTheme="minorEastAsia"/>
              <w:kern w:val="2"/>
              <w:sz w:val="24"/>
              <w:szCs w:val="24"/>
              <w:lang w:eastAsia="da-DK"/>
              <w14:ligatures w14:val="standardContextual"/>
            </w:rPr>
          </w:pPr>
          <w:hyperlink w:anchor="_Toc200615916">
            <w:r>
              <w:rPr>
                <w:webHidden/>
                <w:rStyle w:val="Registerlink"/>
              </w:rPr>
              <w:t>Bilag 5. Politiken 17. august 2024: Ung mand fra Vestegnen: Det er tid til, at ghettoloven gør sit indtog i Gentofte</w:t>
            </w:r>
            <w:r>
              <w:rPr>
                <w:webHidden/>
              </w:rPr>
              <w:fldChar w:fldCharType="begin"/>
            </w:r>
            <w:r>
              <w:rPr>
                <w:webHidden/>
              </w:rPr>
              <w:instrText xml:space="preserve">PAGEREF _Toc200615916 \h</w:instrText>
            </w:r>
            <w:r>
              <w:rPr>
                <w:webHidden/>
              </w:rPr>
              <w:fldChar w:fldCharType="separate"/>
            </w:r>
            <w:r>
              <w:rPr>
                <w:rStyle w:val="Registerlink"/>
                <w:vanish w:val="false"/>
              </w:rPr>
              <w:tab/>
              <w:t>6</w:t>
            </w:r>
            <w:r>
              <w:rPr>
                <w:webHidden/>
              </w:rPr>
              <w:fldChar w:fldCharType="end"/>
            </w:r>
          </w:hyperlink>
        </w:p>
        <w:p>
          <w:pPr>
            <w:pStyle w:val="TOC2"/>
            <w:tabs>
              <w:tab w:val="clear" w:pos="1304"/>
              <w:tab w:val="right" w:pos="9736" w:leader="dot"/>
            </w:tabs>
            <w:rPr>
              <w:rFonts w:eastAsia="" w:eastAsiaTheme="minorEastAsia"/>
              <w:kern w:val="2"/>
              <w:sz w:val="24"/>
              <w:szCs w:val="24"/>
              <w:lang w:eastAsia="da-DK"/>
              <w14:ligatures w14:val="standardContextual"/>
            </w:rPr>
          </w:pPr>
          <w:hyperlink w:anchor="_Toc200615917">
            <w:r>
              <w:rPr>
                <w:webHidden/>
                <w:rStyle w:val="Registerlink"/>
              </w:rPr>
              <w:t>Bilag 6. Kristeligt Dagblad 13. januar 2022: Børn, der vokser op med bøger, klarer sig bedre senere i livet</w:t>
            </w:r>
            <w:r>
              <w:rPr>
                <w:webHidden/>
              </w:rPr>
              <w:fldChar w:fldCharType="begin"/>
            </w:r>
            <w:r>
              <w:rPr>
                <w:webHidden/>
              </w:rPr>
              <w:instrText xml:space="preserve">PAGEREF _Toc200615917 \h</w:instrText>
            </w:r>
            <w:r>
              <w:rPr>
                <w:webHidden/>
              </w:rPr>
              <w:fldChar w:fldCharType="separate"/>
            </w:r>
            <w:r>
              <w:rPr>
                <w:rStyle w:val="Registerlink"/>
                <w:vanish w:val="false"/>
              </w:rPr>
              <w:tab/>
              <w:t>7</w:t>
            </w:r>
            <w:r>
              <w:rPr>
                <w:webHidden/>
              </w:rPr>
              <w:fldChar w:fldCharType="end"/>
            </w:r>
          </w:hyperlink>
        </w:p>
        <w:p>
          <w:pPr>
            <w:pStyle w:val="TOC2"/>
            <w:tabs>
              <w:tab w:val="clear" w:pos="1304"/>
              <w:tab w:val="right" w:pos="9736" w:leader="dot"/>
            </w:tabs>
            <w:rPr>
              <w:rFonts w:eastAsia="" w:eastAsiaTheme="minorEastAsia"/>
              <w:kern w:val="2"/>
              <w:sz w:val="24"/>
              <w:szCs w:val="24"/>
              <w:lang w:eastAsia="da-DK"/>
              <w14:ligatures w14:val="standardContextual"/>
            </w:rPr>
          </w:pPr>
          <w:hyperlink w:anchor="_Toc200615918">
            <w:r>
              <w:rPr>
                <w:webHidden/>
                <w:rStyle w:val="Registerlink"/>
              </w:rPr>
              <w:t>Bilag 7: Politiken: 17.06.2022: Gymnasietid</w:t>
            </w:r>
            <w:r>
              <w:rPr>
                <w:webHidden/>
              </w:rPr>
              <w:fldChar w:fldCharType="begin"/>
            </w:r>
            <w:r>
              <w:rPr>
                <w:webHidden/>
              </w:rPr>
              <w:instrText xml:space="preserve">PAGEREF _Toc200615918 \h</w:instrText>
            </w:r>
            <w:r>
              <w:rPr>
                <w:webHidden/>
              </w:rPr>
              <w:fldChar w:fldCharType="separate"/>
            </w:r>
            <w:r>
              <w:rPr>
                <w:rStyle w:val="Registerlink"/>
                <w:vanish w:val="false"/>
              </w:rPr>
              <w:tab/>
              <w:t>9</w:t>
            </w:r>
            <w:r>
              <w:rPr>
                <w:webHidden/>
              </w:rPr>
              <w:fldChar w:fldCharType="end"/>
            </w:r>
          </w:hyperlink>
        </w:p>
        <w:p>
          <w:pPr>
            <w:pStyle w:val="TOC2"/>
            <w:tabs>
              <w:tab w:val="clear" w:pos="1304"/>
              <w:tab w:val="right" w:pos="9736" w:leader="dot"/>
            </w:tabs>
            <w:rPr>
              <w:rFonts w:eastAsia="" w:eastAsiaTheme="minorEastAsia"/>
              <w:kern w:val="2"/>
              <w:sz w:val="24"/>
              <w:szCs w:val="24"/>
              <w:lang w:eastAsia="da-DK"/>
              <w14:ligatures w14:val="standardContextual"/>
            </w:rPr>
          </w:pPr>
          <w:hyperlink w:anchor="_Toc200615919">
            <w:r>
              <w:rPr>
                <w:webHidden/>
                <w:rStyle w:val="Registerlink"/>
              </w:rPr>
              <w:t>Bilag 8: Information: 5.11.2024: Forsker har kortlagt social arv i fattigdom i Danmark: »Velfærdsstaten slår ikke godt nok til«</w:t>
            </w:r>
            <w:r>
              <w:rPr>
                <w:webHidden/>
              </w:rPr>
              <w:fldChar w:fldCharType="begin"/>
            </w:r>
            <w:r>
              <w:rPr>
                <w:webHidden/>
              </w:rPr>
              <w:instrText xml:space="preserve">PAGEREF _Toc200615919 \h</w:instrText>
            </w:r>
            <w:r>
              <w:rPr>
                <w:webHidden/>
              </w:rPr>
              <w:fldChar w:fldCharType="separate"/>
            </w:r>
            <w:r>
              <w:rPr>
                <w:rStyle w:val="Registerlink"/>
                <w:vanish w:val="false"/>
              </w:rPr>
              <w:tab/>
              <w:t>11</w:t>
            </w:r>
            <w:r>
              <w:rPr>
                <w:webHidden/>
              </w:rPr>
              <w:fldChar w:fldCharType="end"/>
            </w:r>
          </w:hyperlink>
        </w:p>
        <w:p>
          <w:pPr>
            <w:pStyle w:val="TOC2"/>
            <w:tabs>
              <w:tab w:val="clear" w:pos="1304"/>
              <w:tab w:val="right" w:pos="9736" w:leader="dot"/>
            </w:tabs>
            <w:rPr>
              <w:rFonts w:eastAsia="" w:eastAsiaTheme="minorEastAsia"/>
              <w:kern w:val="2"/>
              <w:sz w:val="24"/>
              <w:szCs w:val="24"/>
              <w:lang w:eastAsia="da-DK"/>
              <w14:ligatures w14:val="standardContextual"/>
            </w:rPr>
          </w:pPr>
          <w:hyperlink w:anchor="_Toc200615920">
            <w:r>
              <w:rPr>
                <w:webHidden/>
                <w:rStyle w:val="Registerlink"/>
              </w:rPr>
              <w:t>Bilag 9. Information: 3.11.2024: KL-formand advarer: Stigende privatisering kan udfordre opbakningen til velfærdsstaten</w:t>
            </w:r>
            <w:r>
              <w:rPr>
                <w:webHidden/>
              </w:rPr>
              <w:fldChar w:fldCharType="begin"/>
            </w:r>
            <w:r>
              <w:rPr>
                <w:webHidden/>
              </w:rPr>
              <w:instrText xml:space="preserve">PAGEREF _Toc200615920 \h</w:instrText>
            </w:r>
            <w:r>
              <w:rPr>
                <w:webHidden/>
              </w:rPr>
              <w:fldChar w:fldCharType="separate"/>
            </w:r>
            <w:r>
              <w:rPr>
                <w:rStyle w:val="Registerlink"/>
                <w:vanish w:val="false"/>
              </w:rPr>
              <w:tab/>
              <w:t>13</w:t>
            </w:r>
            <w:r>
              <w:rPr>
                <w:webHidden/>
              </w:rPr>
              <w:fldChar w:fldCharType="end"/>
            </w:r>
          </w:hyperlink>
        </w:p>
        <w:p>
          <w:pPr>
            <w:pStyle w:val="Normal"/>
            <w:rPr/>
          </w:pPr>
          <w:r>
            <w:rPr/>
          </w:r>
          <w:r>
            <w:rPr/>
            <w:fldChar w:fldCharType="end"/>
          </w:r>
        </w:p>
      </w:sdtContent>
    </w:sdt>
    <w:p>
      <w:pPr>
        <w:pStyle w:val="Heading2"/>
        <w:rPr/>
      </w:pPr>
      <w:bookmarkStart w:id="0" w:name="_Toc194167233"/>
      <w:bookmarkStart w:id="1" w:name="_Toc200615919"/>
      <w:bookmarkStart w:id="2" w:name="_Toc200546337"/>
      <w:r>
        <w:rPr/>
        <w:t>Bilag 8: Information: 5.11.2024: Forsker har kortlagt social arv i fattigdom i Danmark: »Velfærdsstaten slår ikke godt nok til«</w:t>
      </w:r>
      <w:bookmarkEnd w:id="1"/>
      <w:bookmarkEnd w:id="2"/>
    </w:p>
    <w:p>
      <w:pPr>
        <w:pStyle w:val="Normal"/>
        <w:rPr/>
      </w:pPr>
      <w:bookmarkStart w:id="3" w:name="_Toc194167233"/>
      <w:r>
        <w:rPr/>
        <w:t>af Johanne Breum Jacobsen</w:t>
      </w:r>
      <w:bookmarkEnd w:id="3"/>
    </w:p>
    <w:p>
      <w:pPr>
        <w:pStyle w:val="Normal"/>
        <w:rPr>
          <w:b/>
          <w:bCs/>
        </w:rPr>
      </w:pPr>
      <w:r>
        <w:rPr>
          <w:b/>
          <w:bCs/>
        </w:rPr>
        <w:t xml:space="preserve">Et internationalt forskerhold har fulgt 1,8 millioner danske børn op til 35-årsalderen og kortlagt den sociale arv i fattigdom herhjemme og i fire andre lande. For den eksisterer i hvert af de fem lande, men forklaringerne er forskellige. </w:t>
      </w:r>
    </w:p>
    <w:p>
      <w:pPr>
        <w:pStyle w:val="Normal"/>
        <w:rPr/>
      </w:pPr>
      <w:r>
        <w:rPr/>
        <w:t xml:space="preserve">Vokser man op i en fattig familie, vil man også̊ være mere tilbøjelig til selv at blive fattig som voksen. Det gælder, uanset om man bor i en velfærdsstat som den danske eller i et land med en meget lille grad af omfordeling som USA. </w:t>
      </w:r>
    </w:p>
    <w:p>
      <w:pPr>
        <w:pStyle w:val="Normal"/>
        <w:rPr/>
      </w:pPr>
      <w:r>
        <w:rPr/>
        <w:t xml:space="preserve">Sådan lyder konklusionen i et nyt studie foretaget af forskningsprofessor ved Rockwool Fonden Peter Fallesen og en række internationale forskere, som netop er udkommet i det videnskabelige tidsskrift Nature Human Behavior. </w:t>
      </w:r>
    </w:p>
    <w:p>
      <w:pPr>
        <w:pStyle w:val="Normal"/>
        <w:rPr/>
      </w:pPr>
      <w:r>
        <w:rPr/>
        <w:t xml:space="preserve">At fattigdom går i arv, er ikke en ny erkendelse, ligesom det heller ikke er overraskende, at den sociale arv i fattigdom er mindre herhjemme end i eksempelvis Australien og USA. Men mens mange tidligere studier primært har haft fokus på udviklingen i lønindkomst fra generation til generation, koncentrerer det nye studie sig mere bredt om menneskers muligheder for at bevæge sig ud af relativ fattigdom i forskellige lande, forklarer Peter Fallesen: </w:t>
      </w:r>
    </w:p>
    <w:p>
      <w:pPr>
        <w:pStyle w:val="Normal"/>
        <w:rPr/>
      </w:pPr>
      <w:r>
        <w:rPr/>
        <w:t xml:space="preserve">»Vores idé har været at se på, hvordan den sociale arv ser ud i højindkomstlande med vidt for- skellige velfærdssystemer og forskellige niveauer for børnefattigdom,« siger han. </w:t>
      </w:r>
    </w:p>
    <w:p>
      <w:pPr>
        <w:pStyle w:val="Normal"/>
        <w:rPr/>
      </w:pPr>
      <w:r>
        <w:rPr/>
        <w:t xml:space="preserve">I studiet har forskergruppen sammenlignet børn fra Australien, USA, Storbritannien og det tidligere Vesttyskland med 1,8 millioner danskere, som de har fulgt fra barndommen til 35-årsalderen. </w:t>
      </w:r>
    </w:p>
    <w:p>
      <w:pPr>
        <w:pStyle w:val="Normal"/>
        <w:rPr/>
      </w:pPr>
      <w:r>
        <w:rPr/>
        <w:t xml:space="preserve">Og ikke så underligt kommer de frem til, at den sociale arv i fattigdom er lavere herhjemme end i de fire andre lande. </w:t>
      </w:r>
    </w:p>
    <w:p>
      <w:pPr>
        <w:pStyle w:val="Normal"/>
        <w:rPr/>
      </w:pPr>
      <w:r>
        <w:rPr/>
        <w:t xml:space="preserve">Hvad der derimod er mere overraskende, er de mekanismer, der forklarer niveauet af social arv i de fem lande, siger Peter Fallesen. </w:t>
      </w:r>
    </w:p>
    <w:p>
      <w:pPr>
        <w:pStyle w:val="Normal"/>
        <w:rPr/>
      </w:pPr>
      <w:r>
        <w:rPr/>
        <w:t xml:space="preserve">»Det, der overraskede mig lidt, er, at det i Danmark handler meget om, hvem ens forældre er, og hvilken familie man er vokset op i, og i mindre grad om de valg man træffer senere hen som følge af den type familie, man er vokset op i,« siger han. </w:t>
      </w:r>
    </w:p>
    <w:p>
      <w:pPr>
        <w:pStyle w:val="Normal"/>
        <w:rPr/>
      </w:pPr>
      <w:r>
        <w:rPr/>
        <w:t xml:space="preserve">I studiet har forskerne kortlagt forskellige faktorers bidrag til den sociale arv i fattigdom. En af disse faktorer omfatter alene ens familiebaggrund, mens en anden defineres som ens milepæle i det tidligere voksenliv. Milepælene dækker over valg, man træffer i kraft af sin baggrund om for eksempel uddannelse, beskæftigelse og familieforhold. </w:t>
      </w:r>
    </w:p>
    <w:p>
      <w:pPr>
        <w:pStyle w:val="Normal"/>
        <w:rPr/>
      </w:pPr>
      <w:r>
        <w:rPr/>
        <w:t xml:space="preserve">De valg har forholdsvis stor betydning for, om unge voksne fra fattige familier bliver ved med at leve i relativ fattigdom eller ej i Storbritannien, Australien og det tidligere Vesttyskland. Men i Danmark, hvor minimumlønningerne er høje, spiller de valg om eksempelvis beskæftigelse eller uddannelse, den enkelte træffer, altså̊ ikke en central rolle. </w:t>
      </w:r>
    </w:p>
    <w:p>
      <w:pPr>
        <w:pStyle w:val="Normal"/>
        <w:rPr/>
      </w:pPr>
      <w:r>
        <w:rPr/>
        <w:t xml:space="preserve">USA skiller sig ud ved at have den største andel af social arv, som ikke kan forklares ud fra nogle af de andre faktorer. </w:t>
      </w:r>
    </w:p>
    <w:p>
      <w:pPr>
        <w:pStyle w:val="Normal"/>
        <w:rPr/>
      </w:pPr>
      <w:r>
        <w:rPr/>
        <w:t xml:space="preserve">»I de andre lande kan vi forholdsvis nemt forklare den sociale arv, men det kan vi ikke i USA. En hypotese kan være, at vi opererer med en fastsat relativ fattigdomsgrænse, og at amerikanere, der bliver fattige, måske ligger længere under den end i de andre lande,« siger Peter Fallesen. </w:t>
      </w:r>
    </w:p>
    <w:p>
      <w:pPr>
        <w:pStyle w:val="Normal"/>
        <w:rPr/>
      </w:pPr>
      <w:r>
        <w:rPr/>
        <w:t xml:space="preserve">Når de landespecifikke mekanismer er interessante, skyldes det, at de kan bruges til at forstå, hvorfor fattigdom går i arv herhjemme, siger han: </w:t>
      </w:r>
    </w:p>
    <w:p>
      <w:pPr>
        <w:pStyle w:val="Normal"/>
        <w:rPr/>
      </w:pPr>
      <w:r>
        <w:rPr/>
        <w:t xml:space="preserve">»Det giver en rettesnor om, at hvis vi skal bryde den sociale arv i Danmark, så giver det måske bedst mening at sætte ind, mens børnene vokser op,« siger han. </w:t>
      </w:r>
    </w:p>
    <w:p>
      <w:pPr>
        <w:pStyle w:val="Normal"/>
        <w:rPr/>
      </w:pPr>
      <w:r>
        <w:rPr>
          <w:b/>
          <w:bCs/>
        </w:rPr>
        <w:t xml:space="preserve">Forskellige mekanismer </w:t>
      </w:r>
    </w:p>
    <w:p>
      <w:pPr>
        <w:pStyle w:val="Normal"/>
        <w:rPr/>
      </w:pPr>
      <w:r>
        <w:rPr/>
        <w:t xml:space="preserve">Sammenligner man den sociale arv i fattigdom på tværs af de fem lande, ligger Danmark som nævnt lavest. Tilbringer man hele sin barndom som relativt fattig i Danmark, vil man have 15 procents risiko for også at leve som relativt fattig i alderen fra 25 til 35 år. </w:t>
      </w:r>
    </w:p>
    <w:p>
      <w:pPr>
        <w:pStyle w:val="Normal"/>
        <w:rPr/>
      </w:pPr>
      <w:r>
        <w:rPr/>
        <w:t xml:space="preserve">Blandt danske børn, der aldrig har oplevet relativ fattigdom, er det kun otte procent, der selv bliver relativt fattige i samme periode i voksenlivet. Dermed ligger forskellen på syv procentpoint, mens den til sammenligning er ti procentpoint i Vesttyskland, 15 i Storbritannien, 20 i Australien og 42 i USA. </w:t>
      </w:r>
    </w:p>
    <w:p>
      <w:pPr>
        <w:pStyle w:val="Normal"/>
        <w:rPr/>
      </w:pPr>
      <w:r>
        <w:rPr/>
        <w:t xml:space="preserve">Information har fremlagt undersøgelsen for Rune Vammen Lesner, der er seniorforsker ved VIVE og har forsket i konsekvenserne af børnefattigdom. Han er ikke overrasket over forskellene på den sociale arv i de fem lande. Men når undersøgelsen viser, at relativ fattigdom i barndommen giver syv procentpoint øget risiko for at leve som relativt fattig senere hen i Danmark, skal man nok ikke hæfte sig meget ved selve tallet, men mere det, at sammenhængen er der, siger han: </w:t>
      </w:r>
    </w:p>
    <w:p>
      <w:pPr>
        <w:pStyle w:val="Normal"/>
        <w:rPr/>
      </w:pPr>
      <w:r>
        <w:rPr/>
        <w:t xml:space="preserve">»Hvor stort tallet skal være, afhænger af, hvordan man definerer gruppen,« siger han. </w:t>
      </w:r>
    </w:p>
    <w:p>
      <w:pPr>
        <w:pStyle w:val="Normal"/>
        <w:rPr/>
      </w:pPr>
      <w:r>
        <w:rPr/>
        <w:t xml:space="preserve">Havde man defineret gruppen anderledes – eller sorteret for, om den sociale arv i fattigdom kunne forklares af andre faktorer såsom helbred eller sociale problemer – kunne den sociale arv i fattigdom i Danmark altså have fremstået enten mindre eller større, end den gør i studiet, lyder hans pointe. </w:t>
      </w:r>
    </w:p>
    <w:p>
      <w:pPr>
        <w:pStyle w:val="Normal"/>
        <w:rPr/>
      </w:pPr>
      <w:r>
        <w:rPr/>
        <w:t xml:space="preserve">Spørgsmålet er, hvordan man skal tolke det, at den danske sociale arv i fattigdom er lavere end i de andre fire højindkomstlande. </w:t>
      </w:r>
    </w:p>
    <w:p>
      <w:pPr>
        <w:pStyle w:val="Normal"/>
        <w:rPr/>
      </w:pPr>
      <w:r>
        <w:rPr/>
        <w:t xml:space="preserve">På den ene side viser det, at den danske velfærdsmodel giver en højere social mobilitet ud af fattigdom end andre landes. Og på den anden side viser det, at hvis man er fattig som barn, vil man stadig have markant større risiko for at ende i fattigdom som voksen trods det danske velfærdssamfund. </w:t>
      </w:r>
    </w:p>
    <w:p>
      <w:pPr>
        <w:pStyle w:val="Normal"/>
        <w:rPr/>
      </w:pPr>
      <w:r>
        <w:rPr/>
        <w:t xml:space="preserve">»Det er måske for meget at sige, at velfærdsstaten har fejlet,« siger Peter Fallesen: </w:t>
      </w:r>
    </w:p>
    <w:p>
      <w:pPr>
        <w:pStyle w:val="Normal"/>
        <w:rPr/>
      </w:pPr>
      <w:r>
        <w:rPr/>
        <w:t xml:space="preserve">»Men det viser, at den i hvert fald ikke slår godt nok til, såfremt dens formål er at sikre alle et godt udgangspunkt for livet.« </w:t>
      </w:r>
    </w:p>
    <w:p>
      <w:pPr>
        <w:pStyle w:val="Normal"/>
        <w:rPr/>
      </w:pPr>
      <w:r>
        <w:rPr/>
        <w:t xml:space="preserve">Mens Danmark ligger lavest, både når det kommer til niveauet for børnefattigdom og social arv i fattigdom, ligger USA højest på begge parametre. Men ser man på de tre lande i midten, altså det tidligere Vesttyskland, Australien og Storbritannien, er billedet mere broget. Her har Australien eksempelvis en lavere børnefattigdomsgrad end Storbritannien – ti procent sammenlignet med 16 procent, men Australien har en højere social arv i fattigdom, på 20 procent, sammenlignet med 15 procent i Storbritannien. </w:t>
      </w:r>
    </w:p>
    <w:p>
      <w:pPr>
        <w:pStyle w:val="Normal"/>
        <w:rPr/>
      </w:pPr>
      <w:r>
        <w:rPr/>
        <w:t xml:space="preserve">Det er et interessant resultat, siger Rune Vammen Lesner: </w:t>
      </w:r>
    </w:p>
    <w:p>
      <w:pPr>
        <w:pStyle w:val="Normal"/>
        <w:rPr/>
      </w:pPr>
      <w:r>
        <w:rPr/>
        <w:t xml:space="preserve">»Men man skal huske, at det er billedet for disse tre lande, og verden er jo stor,« siger han. </w:t>
      </w:r>
    </w:p>
    <w:p>
      <w:pPr>
        <w:pStyle w:val="Normal"/>
        <w:rPr/>
      </w:pPr>
      <w:r>
        <w:rPr/>
        <w:t xml:space="preserve">Ifølge Peter Fallesen indikerer tallene fra Tyskland, Storbritannien og Australien, at en lav grad af børnefattigdom ikke nødvendigvis er en garanti for lav social arv: </w:t>
      </w:r>
    </w:p>
    <w:p>
      <w:pPr>
        <w:pStyle w:val="Normal"/>
        <w:rPr/>
      </w:pPr>
      <w:r>
        <w:rPr/>
        <w:t xml:space="preserve">»Så pointen er, at der er en række faktorer i forhold til den måde, vi har indrettet samfundet på, der bestemmer niveauet for børnefattigdom i et land. Men de overlapper ikke nødvendigvis 1:1 til en med de mekanismer, der afgør, hvor stor den sociale arv bliver,« siger han. </w:t>
      </w:r>
    </w:p>
    <w:p>
      <w:pPr>
        <w:pStyle w:val="Normal"/>
        <w:rPr/>
      </w:pPr>
      <w:r>
        <w:rPr/>
      </w:r>
    </w:p>
    <w:p>
      <w:pPr>
        <w:pStyle w:val="Heading2"/>
        <w:rPr/>
      </w:pPr>
      <w:bookmarkStart w:id="4" w:name="_Toc200615920"/>
      <w:bookmarkStart w:id="5" w:name="_Toc200546338"/>
      <w:r>
        <w:rPr/>
        <w:t>Bilag 9. Information: 3.11.2024: KL-formand advarer: Stigende privatisering kan udfordre opbakningen til velfærdsstaten</w:t>
      </w:r>
      <w:bookmarkEnd w:id="4"/>
      <w:bookmarkEnd w:id="5"/>
    </w:p>
    <w:p>
      <w:pPr>
        <w:pStyle w:val="Normal"/>
        <w:rPr/>
      </w:pPr>
      <w:r>
        <w:rPr/>
        <w:t xml:space="preserve">Information d. 3/11 2024 af Louise Schou Drivsholm. </w:t>
      </w:r>
      <w:r>
        <w:rPr>
          <w:i/>
          <w:iCs/>
        </w:rPr>
        <w:t>Interview af KL’s formand Martin Damm (V). Kommunernes Landsforening (KL) er interesseorganisation for danske kommuner.</w:t>
      </w:r>
    </w:p>
    <w:p>
      <w:pPr>
        <w:pStyle w:val="Normal"/>
        <w:rPr>
          <w:vanish/>
        </w:rPr>
      </w:pPr>
      <w:r>
        <w:rPr>
          <w:vanish/>
        </w:rPr>
        <w:t>Øverst på formularen</w:t>
      </w:r>
    </w:p>
    <w:p>
      <w:pPr>
        <w:pStyle w:val="Normal"/>
        <w:rPr>
          <w:vanish/>
        </w:rPr>
      </w:pPr>
      <w:r>
        <w:rPr>
          <w:vanish/>
        </w:rPr>
        <w:t>Nederst på formularen</w:t>
      </w:r>
    </w:p>
    <w:p>
      <w:pPr>
        <w:pStyle w:val="Normal"/>
        <w:rPr/>
      </w:pPr>
      <w:r>
        <w:rPr/>
        <w:t>Velfærdssamfundets tilstand og fremtid er blandt de mest diskuterede emner i den politiske debat herhjemme. Og SVM-regeringen har gjort det til sin eksistensberettigelse at iværksætte reformer, som ifølge de tre regeringspartier er bydende nødvendige for at »udvikle og fremtidssikre« vores velfærdssamfund, som det hedder i regeringsgrundlaget. </w:t>
      </w:r>
    </w:p>
    <w:p>
      <w:pPr>
        <w:pStyle w:val="Normal"/>
        <w:rPr/>
      </w:pPr>
      <w:r>
        <w:rPr/>
        <w:t>Men i Kommunernes Landsforening (KL), der står for omkring halvdelen af aktiviteten i den offentlige sektor, savner man stadig den politiske handling, som reelt kan garantere velfærdsstaten. </w:t>
      </w:r>
    </w:p>
    <w:p>
      <w:pPr>
        <w:pStyle w:val="Normal"/>
        <w:rPr/>
      </w:pPr>
      <w:r>
        <w:rPr/>
        <w:t>Sådan lyder budskabet fra formand Martin Damm (V) i forbindelse med, at KL udgiver den nye omfattende rapport ’Velfærdssamfundet belyst’. Her gør man status over alt fra danskernes syn på velfærden til kampen om arbejdskraften og den stigende privatisering. </w:t>
      </w:r>
    </w:p>
    <w:p>
      <w:pPr>
        <w:pStyle w:val="Normal"/>
        <w:rPr/>
      </w:pPr>
      <w:r>
        <w:rPr/>
        <w:t>»Det kan godt virke, som om nogle tror, de har opfundet en evighedsmaskine i vores velfærdsstat. Men det er kun tilfældet, hvis vi passer på den. Der er behov for at træffe beslutninger. Det er jo også et politisk valg ikke at gøre noget,« siger Martin Damm, der også er borgmester i Kalundborg Kommune. </w:t>
      </w:r>
    </w:p>
    <w:p>
      <w:pPr>
        <w:pStyle w:val="Normal"/>
        <w:rPr/>
      </w:pPr>
      <w:r>
        <w:rPr/>
        <w:t>KL-rapporten viser en række tendenser, som ifølge Martin Damm »får lov at gå under radaren«, fordi de sker gradvist. Han hæfter sig især ved tre udviklinger, som han mener potentielt udgør en eksistentiel trussel for velfærdsstaten. </w:t>
      </w:r>
    </w:p>
    <w:p>
      <w:pPr>
        <w:pStyle w:val="Normal"/>
        <w:rPr/>
      </w:pPr>
      <w:r>
        <w:rPr/>
        <w:t>Nemlig at den offentlige velfærd ikke længere følger væksten i den private sektor, at tilfredsheden med vores velfærdssamfund på nogle områder er støt faldende, og at flere og flere selv køber velfærdsydelser uden om det offentlige system. </w:t>
      </w:r>
    </w:p>
    <w:p>
      <w:pPr>
        <w:pStyle w:val="Normal"/>
        <w:rPr/>
      </w:pPr>
      <w:r>
        <w:rPr/>
        <w:t>»Hvis vi politisk tillader, at privatiseringen overtager, så vil nogle – nok især dem, som betaler mest skat – efterhånden stille sig selv det spørgsmål, hvad de egentlig får for deres mange skattekroner,« siger han. </w:t>
      </w:r>
    </w:p>
    <w:p>
      <w:pPr>
        <w:pStyle w:val="Normal"/>
        <w:rPr/>
      </w:pPr>
      <w:r>
        <w:rPr/>
        <w:t>Martin Damm anerkender, at SVM-regeringen allerede har vedtaget en række omfattende reformer på både ældre-, sundheds- og uddannelsesområdet. </w:t>
      </w:r>
    </w:p>
    <w:p>
      <w:pPr>
        <w:pStyle w:val="Normal"/>
        <w:rPr/>
      </w:pPr>
      <w:r>
        <w:rPr/>
        <w:t>»Men der er også nogle diskussioner omkring forventninger til velfærd, prioritering og især fremvæksten af private alternativer, som jeg fortsat synes er fraværende,« siger han og understreger, at KL’s udmelding ikke skal ses som en kritik af midterregeringen specifikt. </w:t>
      </w:r>
    </w:p>
    <w:p>
      <w:pPr>
        <w:pStyle w:val="Normal"/>
        <w:rPr/>
      </w:pPr>
      <w:r>
        <w:rPr/>
        <w:t>»Det her er en påmindelse til alle landspolitikere uanset kulør.« </w:t>
      </w:r>
    </w:p>
    <w:p>
      <w:pPr>
        <w:pStyle w:val="Normal"/>
        <w:rPr>
          <w:b/>
          <w:bCs/>
        </w:rPr>
      </w:pPr>
      <w:r>
        <w:rPr>
          <w:b/>
          <w:bCs/>
        </w:rPr>
        <w:t>Velfærdsmotoren er begyndt at hoste</w:t>
      </w:r>
    </w:p>
    <w:p>
      <w:pPr>
        <w:pStyle w:val="Normal"/>
        <w:rPr/>
      </w:pPr>
      <w:r>
        <w:rPr/>
        <w:t>KL har i den nye rapport fået opgjort, hvordan både skattebetaling og velfærd fordeler sig på tværs af indkomstgrupper. </w:t>
      </w:r>
    </w:p>
    <w:p>
      <w:pPr>
        <w:pStyle w:val="Normal"/>
        <w:rPr/>
      </w:pPr>
      <w:r>
        <w:rPr/>
        <w:t>Her tegner sig et billede af, at vores universelle velfærdsstat trods kriseretorikken fortsat fungerer efter intentionen. I dag gør samfundets mest og mindst velhavende ti procent eksempelvis brug af folkeskolen og ældreplejen i nogenlunde samme omfang. </w:t>
      </w:r>
    </w:p>
    <w:p>
      <w:pPr>
        <w:pStyle w:val="Normal"/>
        <w:rPr/>
      </w:pPr>
      <w:r>
        <w:rPr/>
        <w:t>Samtidigt sker der en omfordeling, således at dem med højest indkomst betaler markant mere i skat, mens dem med lavest indkomst i højest grad gør brug af overførselsindkomster og sociale indsatser til børn og unge. </w:t>
      </w:r>
    </w:p>
    <w:p>
      <w:pPr>
        <w:pStyle w:val="Normal"/>
        <w:rPr/>
      </w:pPr>
      <w:r>
        <w:rPr/>
        <w:t>»Modellen virker jo,« siger Martin Damm. </w:t>
      </w:r>
    </w:p>
    <w:p>
      <w:pPr>
        <w:pStyle w:val="Normal"/>
        <w:rPr/>
      </w:pPr>
      <w:r>
        <w:rPr/>
        <w:t xml:space="preserve">»Vi har i Danmark anerkendt, at nogle skal mere til lommerne end andre. Men at vi samtidigt har grundlæggende ens adgang til dagtilbud, skoler og ældrepleje </w:t>
        <w:softHyphen/>
        <w:t>– og de tilbud bliver også brugt nogenlunde ens på tværs af befolkningen.« </w:t>
      </w:r>
    </w:p>
    <w:p>
      <w:pPr>
        <w:pStyle w:val="Normal"/>
        <w:rPr/>
      </w:pPr>
      <w:r>
        <w:rPr/>
        <w:t>Men sideløbende har der de seneste år fundet en udvikling sted i vores velfærdssamfund, der ifølge Martin Damm har fået »motoren til at hoste«. Det skyldes især de førnævnte tre forhold, som KL’s analyse viser: </w:t>
      </w:r>
    </w:p>
    <w:p>
      <w:pPr>
        <w:pStyle w:val="Normal"/>
        <w:rPr/>
      </w:pPr>
      <w:r>
        <w:rPr/>
        <w:t xml:space="preserve">Hvor væksten i den offentlige sektor og det private forbrug fulgtes nogenlunde ad indtil finanskrisen i 2008, er der sidenhen opstået det, KL kalder et velfærdsgab. Det henviser til, at det private forbrug er stukket af fra det offentlige. Og den forskel </w:t>
        <w:softHyphen/>
        <w:softHyphen/>
        <w:t>– gabet – bliver kun større. </w:t>
      </w:r>
    </w:p>
    <w:p>
      <w:pPr>
        <w:pStyle w:val="Normal"/>
        <w:rPr/>
      </w:pPr>
      <w:r>
        <w:rPr/>
        <w:t>»Tidligere har vi som befolkning eksempelvis været vant til, at hvis man fik moderniseret derhjemme, så skete der også noget med de offentlige bygninger. Men sådan er det ikke længere,« siger Martin Damm. </w:t>
      </w:r>
    </w:p>
    <w:p>
      <w:pPr>
        <w:pStyle w:val="Normal"/>
        <w:rPr/>
      </w:pPr>
      <w:r>
        <w:rPr/>
        <w:t>I samme periode har der ifølge KL’s analyse været en støt faldende tilfredshed i befolkningen med, hvordan især de offentlige sygehuse, skoler, børnehaver og vuggestuer fungerer. Og så er der opstået private alternativer, som er i hastig fremvækst.</w:t>
      </w:r>
    </w:p>
    <w:p>
      <w:pPr>
        <w:pStyle w:val="Normal"/>
        <w:rPr>
          <w:b/>
          <w:bCs/>
        </w:rPr>
      </w:pPr>
      <w:r>
        <w:rPr>
          <w:b/>
          <w:bCs/>
        </w:rPr>
        <w:t>Privatisering udhuler det offentlige</w:t>
      </w:r>
    </w:p>
    <w:p>
      <w:pPr>
        <w:pStyle w:val="Normal"/>
        <w:rPr/>
      </w:pPr>
      <w:r>
        <w:rPr/>
        <w:t>Siden årtusindskiftet er antallet af danskere med en privat sundhedsforsikring mere end tidoblet. I dag er næsten 2,9 millioner privat forsikret og har således mulighed for eksempelvis at komme hurtigere til fysioterapeut eller behandling på et privathospital. </w:t>
      </w:r>
    </w:p>
    <w:p>
      <w:pPr>
        <w:pStyle w:val="Normal"/>
        <w:rPr/>
      </w:pPr>
      <w:r>
        <w:rPr/>
        <w:t>I ældresektoren er andelen af borgere, som selv tilkøber både personlig pleje og praktisk hjælp såsom rengøring, også stigende, ligesom private hjemmehjælpsleverandører er i fremgang.</w:t>
      </w:r>
    </w:p>
    <w:p>
      <w:pPr>
        <w:pStyle w:val="Normal"/>
        <w:rPr/>
      </w:pPr>
      <w:r>
        <w:rPr/>
        <w:t>Samtidigt bliver privatskolerne stadigt mere populære. I 2022 gik næsten hvert tredje barn af de mest velhavende i Danmark i privatskole. </w:t>
      </w:r>
    </w:p>
    <w:p>
      <w:pPr>
        <w:pStyle w:val="Normal"/>
        <w:rPr/>
      </w:pPr>
      <w:r>
        <w:rPr/>
        <w:t>Og når niveauet i den offentlige sektor så ikke længere følger den private, betyder det ifølge Martin Damm, at et privat plejehjem vil opleves som »guld«, mens det kommunale er »rugbrød«. </w:t>
      </w:r>
    </w:p>
    <w:p>
      <w:pPr>
        <w:pStyle w:val="Normal"/>
        <w:rPr/>
      </w:pPr>
      <w:r>
        <w:rPr/>
        <w:t>»Det er én ting. Men hvor tror du, personalet helst vil være? Hvis det private tiltrækker alt personale, så udhuler det jo den offentlige service yderligere. Det skal man være politisk bevidst om,« siger han. </w:t>
      </w:r>
    </w:p>
    <w:p>
      <w:pPr>
        <w:pStyle w:val="Normal"/>
        <w:rPr/>
      </w:pPr>
      <w:r>
        <w:rPr/>
        <w:t>Samtidigt skaber de fremvoksende private alternativer »så meget ulighed«, mener Martin Damm. Noget, vores danske velfærdsmodel jo ellers har til formål at modvirke. </w:t>
      </w:r>
    </w:p>
    <w:p>
      <w:pPr>
        <w:pStyle w:val="Normal"/>
        <w:rPr/>
      </w:pPr>
      <w:r>
        <w:rPr/>
        <w:t>»Hvis vi ender der, hvor eksempelvis folkeskolen ikke længere er et sted, hvor alle samfundslag er repræsenteret, er det med til at skabe en opdeling i befolkningen, som der sjældent kommer noget godt ud af.« </w:t>
      </w:r>
    </w:p>
    <w:p>
      <w:pPr>
        <w:pStyle w:val="Normal"/>
        <w:rPr/>
      </w:pPr>
      <w:r>
        <w:rPr/>
        <w:t>»Så længe velfærdsydelserne er offentligt tilgængelige«</w:t>
      </w:r>
    </w:p>
    <w:p>
      <w:pPr>
        <w:pStyle w:val="Normal"/>
        <w:rPr/>
      </w:pPr>
      <w:r>
        <w:rPr/>
        <w:t xml:space="preserve">– </w:t>
      </w:r>
      <w:r>
        <w:rPr/>
        <w:t>Er det ikke lidt paradoksalt, at en Venstre-mand som dig tordner sådan mod privat velfærd?</w:t>
      </w:r>
    </w:p>
    <w:p>
      <w:pPr>
        <w:pStyle w:val="Normal"/>
        <w:rPr/>
      </w:pPr>
      <w:r>
        <w:rPr/>
        <w:t>»Den her advarsel kommer fra én med et stort kommunalt hjerte. Men det her er heller ikke et opgør med det private, det siger vores analyse ikke. En offentlig opgave kan jo stadig godt udføres af det private,« siger Martin Damm. </w:t>
      </w:r>
    </w:p>
    <w:p>
      <w:pPr>
        <w:pStyle w:val="Normal"/>
        <w:spacing w:before="0" w:after="160"/>
        <w:rPr/>
      </w:pPr>
      <w:r>
        <w:rPr/>
        <w:t>(…)</w:t>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080" w:right="1080" w:gutter="0" w:header="708" w:top="1440" w:footer="708"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Liberation Sans">
    <w:altName w:val="Arial"/>
    <w:charset w:val="00"/>
    <w:family w:val="swiss"/>
    <w:pitch w:val="variable"/>
  </w:font>
  <w:font w:name="Candara">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17066071"/>
    </w:sdtPr>
    <w:sdtContent>
      <w:p>
        <w:pPr>
          <w:pStyle w:val="Footer"/>
          <w:jc w:val="right"/>
          <w:rPr/>
        </w:pPr>
        <w:r>
          <w:rPr/>
          <w:fldChar w:fldCharType="begin"/>
        </w:r>
        <w:r>
          <w:rPr/>
          <w:instrText xml:space="preserve"> PAGE </w:instrText>
        </w:r>
        <w:r>
          <w:rPr/>
          <w:fldChar w:fldCharType="separate"/>
        </w:r>
        <w:r>
          <w:rPr/>
          <w:t>5</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17066071"/>
    </w:sdtPr>
    <w:sdtContent>
      <w:p>
        <w:pPr>
          <w:pStyle w:val="Footer"/>
          <w:jc w:val="right"/>
          <w:rPr/>
        </w:pPr>
        <w:r>
          <w:rPr/>
          <w:fldChar w:fldCharType="begin"/>
        </w:r>
        <w:r>
          <w:rPr/>
          <w:instrText xml:space="preserve"> PAGE </w:instrText>
        </w:r>
        <w:r>
          <w:rPr/>
          <w:fldChar w:fldCharType="separate"/>
        </w:r>
        <w:r>
          <w:rPr/>
          <w:t>5</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b/>
      <w:tab/>
    </w:r>
    <w:r>
      <w:rPr/>
      <w:drawing>
        <wp:inline distT="0" distB="0" distL="0" distR="0">
          <wp:extent cx="1358900" cy="505460"/>
          <wp:effectExtent l="0" t="0" r="0" b="0"/>
          <wp:docPr id="1" name="Billede9" descr="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9" descr="RKS"/>
                  <pic:cNvPicPr>
                    <a:picLocks noChangeAspect="1" noChangeArrowheads="1"/>
                  </pic:cNvPicPr>
                </pic:nvPicPr>
                <pic:blipFill>
                  <a:blip r:embed="rId1"/>
                  <a:stretch>
                    <a:fillRect/>
                  </a:stretch>
                </pic:blipFill>
                <pic:spPr bwMode="auto">
                  <a:xfrm>
                    <a:off x="0" y="0"/>
                    <a:ext cx="1358900" cy="505460"/>
                  </a:xfrm>
                  <a:prstGeom prst="rect">
                    <a:avLst/>
                  </a:prstGeom>
                  <a:noFill/>
                </pic:spPr>
              </pic:pic>
            </a:graphicData>
          </a:graphic>
        </wp:inline>
      </w:drawing>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b/>
      <w:tab/>
    </w:r>
    <w:r>
      <w:rPr/>
      <w:drawing>
        <wp:inline distT="0" distB="0" distL="0" distR="0">
          <wp:extent cx="1358900" cy="505460"/>
          <wp:effectExtent l="0" t="0" r="0" b="0"/>
          <wp:docPr id="2" name="Billede9" descr="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9" descr="RKS"/>
                  <pic:cNvPicPr>
                    <a:picLocks noChangeAspect="1" noChangeArrowheads="1"/>
                  </pic:cNvPicPr>
                </pic:nvPicPr>
                <pic:blipFill>
                  <a:blip r:embed="rId1"/>
                  <a:stretch>
                    <a:fillRect/>
                  </a:stretch>
                </pic:blipFill>
                <pic:spPr bwMode="auto">
                  <a:xfrm>
                    <a:off x="0" y="0"/>
                    <a:ext cx="1358900" cy="505460"/>
                  </a:xfrm>
                  <a:prstGeom prst="rect">
                    <a:avLst/>
                  </a:prstGeom>
                  <a:noFill/>
                </pic:spPr>
              </pic:pic>
            </a:graphicData>
          </a:graphic>
        </wp:inline>
      </w:drawing>
    </w:r>
  </w:p>
  <w:p>
    <w:pPr>
      <w:pStyle w:val="Header"/>
      <w:rPr/>
    </w:pPr>
    <w:r>
      <w:rPr/>
    </w:r>
  </w:p>
</w:hdr>
</file>

<file path=word/settings.xml><?xml version="1.0" encoding="utf-8"?>
<w:settings xmlns:w="http://schemas.openxmlformats.org/wordprocessingml/2006/main">
  <w:zoom w:percent="136"/>
  <w:defaultTabStop w:val="1304"/>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a-DK"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2"/>
        <w:szCs w:val="22"/>
        <w:lang w:val="da-DK"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4da5"/>
    <w:pPr>
      <w:widowControl/>
      <w:bidi w:val="0"/>
      <w:spacing w:lineRule="auto" w:line="259" w:before="0" w:after="160"/>
      <w:jc w:val="left"/>
    </w:pPr>
    <w:rPr>
      <w:rFonts w:ascii="Aptos" w:hAnsi="Aptos" w:eastAsia="Aptos" w:cs=""/>
      <w:color w:val="auto"/>
      <w:kern w:val="0"/>
      <w:sz w:val="22"/>
      <w:szCs w:val="22"/>
      <w:lang w:val="da-DK" w:eastAsia="en-US" w:bidi="ar-SA"/>
      <w14:ligatures w14:val="none"/>
    </w:rPr>
  </w:style>
  <w:style w:type="paragraph" w:styleId="Heading1">
    <w:name w:val="heading 1"/>
    <w:basedOn w:val="Normal"/>
    <w:next w:val="Normal"/>
    <w:link w:val="Overskrift1Tegn"/>
    <w:uiPriority w:val="9"/>
    <w:qFormat/>
    <w:rsid w:val="008b4da5"/>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Overskrift2Tegn"/>
    <w:uiPriority w:val="9"/>
    <w:unhideWhenUsed/>
    <w:qFormat/>
    <w:rsid w:val="008b4da5"/>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Overskrift3Tegn"/>
    <w:uiPriority w:val="9"/>
    <w:unhideWhenUsed/>
    <w:qFormat/>
    <w:rsid w:val="008b4da5"/>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Overskrift4Tegn"/>
    <w:uiPriority w:val="9"/>
    <w:semiHidden/>
    <w:unhideWhenUsed/>
    <w:qFormat/>
    <w:rsid w:val="008b4da5"/>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Overskrift5Tegn"/>
    <w:uiPriority w:val="9"/>
    <w:semiHidden/>
    <w:unhideWhenUsed/>
    <w:qFormat/>
    <w:rsid w:val="008b4da5"/>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Overskrift6Tegn"/>
    <w:uiPriority w:val="9"/>
    <w:semiHidden/>
    <w:unhideWhenUsed/>
    <w:qFormat/>
    <w:rsid w:val="008b4da5"/>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Overskrift7Tegn"/>
    <w:uiPriority w:val="9"/>
    <w:semiHidden/>
    <w:unhideWhenUsed/>
    <w:qFormat/>
    <w:rsid w:val="008b4da5"/>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Overskrift8Tegn"/>
    <w:uiPriority w:val="9"/>
    <w:semiHidden/>
    <w:unhideWhenUsed/>
    <w:qFormat/>
    <w:rsid w:val="008b4da5"/>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Overskrift9Tegn"/>
    <w:uiPriority w:val="9"/>
    <w:semiHidden/>
    <w:unhideWhenUsed/>
    <w:qFormat/>
    <w:rsid w:val="008b4da5"/>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Overskrift1Tegn" w:customStyle="1">
    <w:name w:val="Overskrift 1 Tegn"/>
    <w:basedOn w:val="DefaultParagraphFont"/>
    <w:uiPriority w:val="9"/>
    <w:qFormat/>
    <w:rsid w:val="008b4da5"/>
    <w:rPr>
      <w:rFonts w:ascii="Aptos Display" w:hAnsi="Aptos Display" w:eastAsia="" w:cs="" w:asciiTheme="majorHAnsi" w:cstheme="majorBidi" w:eastAsiaTheme="majorEastAsia" w:hAnsiTheme="majorHAnsi"/>
      <w:color w:themeColor="accent1" w:themeShade="bf" w:val="0F4761"/>
      <w:sz w:val="40"/>
      <w:szCs w:val="40"/>
    </w:rPr>
  </w:style>
  <w:style w:type="character" w:styleId="Overskrift2Tegn" w:customStyle="1">
    <w:name w:val="Overskrift 2 Tegn"/>
    <w:basedOn w:val="DefaultParagraphFont"/>
    <w:uiPriority w:val="9"/>
    <w:qFormat/>
    <w:rsid w:val="008b4da5"/>
    <w:rPr>
      <w:rFonts w:ascii="Aptos Display" w:hAnsi="Aptos Display" w:eastAsia="" w:cs="" w:asciiTheme="majorHAnsi" w:cstheme="majorBidi" w:eastAsiaTheme="majorEastAsia" w:hAnsiTheme="majorHAnsi"/>
      <w:color w:themeColor="accent1" w:themeShade="bf" w:val="0F4761"/>
      <w:sz w:val="32"/>
      <w:szCs w:val="32"/>
    </w:rPr>
  </w:style>
  <w:style w:type="character" w:styleId="Overskrift3Tegn" w:customStyle="1">
    <w:name w:val="Overskrift 3 Tegn"/>
    <w:basedOn w:val="DefaultParagraphFont"/>
    <w:uiPriority w:val="9"/>
    <w:qFormat/>
    <w:rsid w:val="008b4da5"/>
    <w:rPr>
      <w:rFonts w:eastAsia="" w:cs="" w:cstheme="majorBidi" w:eastAsiaTheme="majorEastAsia"/>
      <w:color w:themeColor="accent1" w:themeShade="bf" w:val="0F4761"/>
      <w:sz w:val="28"/>
      <w:szCs w:val="28"/>
    </w:rPr>
  </w:style>
  <w:style w:type="character" w:styleId="Overskrift4Tegn" w:customStyle="1">
    <w:name w:val="Overskrift 4 Tegn"/>
    <w:basedOn w:val="DefaultParagraphFont"/>
    <w:uiPriority w:val="9"/>
    <w:semiHidden/>
    <w:qFormat/>
    <w:rsid w:val="008b4da5"/>
    <w:rPr>
      <w:rFonts w:eastAsia="" w:cs="" w:cstheme="majorBidi" w:eastAsiaTheme="majorEastAsia"/>
      <w:i/>
      <w:iCs/>
      <w:color w:themeColor="accent1" w:themeShade="bf" w:val="0F4761"/>
    </w:rPr>
  </w:style>
  <w:style w:type="character" w:styleId="Overskrift5Tegn" w:customStyle="1">
    <w:name w:val="Overskrift 5 Tegn"/>
    <w:basedOn w:val="DefaultParagraphFont"/>
    <w:uiPriority w:val="9"/>
    <w:semiHidden/>
    <w:qFormat/>
    <w:rsid w:val="008b4da5"/>
    <w:rPr>
      <w:rFonts w:eastAsia="" w:cs="" w:cstheme="majorBidi" w:eastAsiaTheme="majorEastAsia"/>
      <w:color w:themeColor="accent1" w:themeShade="bf" w:val="0F4761"/>
    </w:rPr>
  </w:style>
  <w:style w:type="character" w:styleId="Overskrift6Tegn" w:customStyle="1">
    <w:name w:val="Overskrift 6 Tegn"/>
    <w:basedOn w:val="DefaultParagraphFont"/>
    <w:uiPriority w:val="9"/>
    <w:semiHidden/>
    <w:qFormat/>
    <w:rsid w:val="008b4da5"/>
    <w:rPr>
      <w:rFonts w:eastAsia="" w:cs="" w:cstheme="majorBidi" w:eastAsiaTheme="majorEastAsia"/>
      <w:i/>
      <w:iCs/>
      <w:color w:themeColor="text1" w:themeTint="a6" w:val="595959"/>
    </w:rPr>
  </w:style>
  <w:style w:type="character" w:styleId="Overskrift7Tegn" w:customStyle="1">
    <w:name w:val="Overskrift 7 Tegn"/>
    <w:basedOn w:val="DefaultParagraphFont"/>
    <w:uiPriority w:val="9"/>
    <w:semiHidden/>
    <w:qFormat/>
    <w:rsid w:val="008b4da5"/>
    <w:rPr>
      <w:rFonts w:eastAsia="" w:cs="" w:cstheme="majorBidi" w:eastAsiaTheme="majorEastAsia"/>
      <w:color w:themeColor="text1" w:themeTint="a6" w:val="595959"/>
    </w:rPr>
  </w:style>
  <w:style w:type="character" w:styleId="Overskrift8Tegn" w:customStyle="1">
    <w:name w:val="Overskrift 8 Tegn"/>
    <w:basedOn w:val="DefaultParagraphFont"/>
    <w:uiPriority w:val="9"/>
    <w:semiHidden/>
    <w:qFormat/>
    <w:rsid w:val="008b4da5"/>
    <w:rPr>
      <w:rFonts w:eastAsia="" w:cs="" w:cstheme="majorBidi" w:eastAsiaTheme="majorEastAsia"/>
      <w:i/>
      <w:iCs/>
      <w:color w:themeColor="text1" w:themeTint="d8" w:val="272727"/>
    </w:rPr>
  </w:style>
  <w:style w:type="character" w:styleId="Overskrift9Tegn" w:customStyle="1">
    <w:name w:val="Overskrift 9 Tegn"/>
    <w:basedOn w:val="DefaultParagraphFont"/>
    <w:uiPriority w:val="9"/>
    <w:semiHidden/>
    <w:qFormat/>
    <w:rsid w:val="008b4da5"/>
    <w:rPr>
      <w:rFonts w:eastAsia="" w:cs="" w:cstheme="majorBidi" w:eastAsiaTheme="majorEastAsia"/>
      <w:color w:themeColor="text1" w:themeTint="d8" w:val="272727"/>
    </w:rPr>
  </w:style>
  <w:style w:type="character" w:styleId="TitelTegn" w:customStyle="1">
    <w:name w:val="Titel Tegn"/>
    <w:basedOn w:val="DefaultParagraphFont"/>
    <w:uiPriority w:val="10"/>
    <w:qFormat/>
    <w:rsid w:val="008b4da5"/>
    <w:rPr>
      <w:rFonts w:ascii="Aptos Display" w:hAnsi="Aptos Display" w:eastAsia="" w:cs="" w:asciiTheme="majorHAnsi" w:cstheme="majorBidi" w:eastAsiaTheme="majorEastAsia" w:hAnsiTheme="majorHAnsi"/>
      <w:spacing w:val="-10"/>
      <w:kern w:val="2"/>
      <w:sz w:val="56"/>
      <w:szCs w:val="56"/>
    </w:rPr>
  </w:style>
  <w:style w:type="character" w:styleId="UndertitelTegn" w:customStyle="1">
    <w:name w:val="Undertitel Tegn"/>
    <w:basedOn w:val="DefaultParagraphFont"/>
    <w:uiPriority w:val="11"/>
    <w:qFormat/>
    <w:rsid w:val="008b4da5"/>
    <w:rPr>
      <w:rFonts w:eastAsia="" w:cs="" w:cstheme="majorBidi" w:eastAsiaTheme="majorEastAsia"/>
      <w:color w:themeColor="text1" w:themeTint="a6" w:val="595959"/>
      <w:spacing w:val="15"/>
      <w:sz w:val="28"/>
      <w:szCs w:val="28"/>
    </w:rPr>
  </w:style>
  <w:style w:type="character" w:styleId="CitatTegn" w:customStyle="1">
    <w:name w:val="Citat Tegn"/>
    <w:basedOn w:val="DefaultParagraphFont"/>
    <w:link w:val="Quote"/>
    <w:uiPriority w:val="29"/>
    <w:qFormat/>
    <w:rsid w:val="008b4da5"/>
    <w:rPr>
      <w:i/>
      <w:iCs/>
      <w:color w:themeColor="text1" w:themeTint="bf" w:val="404040"/>
    </w:rPr>
  </w:style>
  <w:style w:type="character" w:styleId="IntenseEmphasis">
    <w:name w:val="Intense Emphasis"/>
    <w:basedOn w:val="DefaultParagraphFont"/>
    <w:uiPriority w:val="21"/>
    <w:qFormat/>
    <w:rsid w:val="008b4da5"/>
    <w:rPr>
      <w:i/>
      <w:iCs/>
      <w:color w:themeColor="accent1" w:themeShade="bf" w:val="0F4761"/>
    </w:rPr>
  </w:style>
  <w:style w:type="character" w:styleId="StrktcitatTegn" w:customStyle="1">
    <w:name w:val="Stærkt citat Tegn"/>
    <w:basedOn w:val="DefaultParagraphFont"/>
    <w:link w:val="IntenseQuote"/>
    <w:uiPriority w:val="30"/>
    <w:qFormat/>
    <w:rsid w:val="008b4da5"/>
    <w:rPr>
      <w:i/>
      <w:iCs/>
      <w:color w:themeColor="accent1" w:themeShade="bf" w:val="0F4761"/>
    </w:rPr>
  </w:style>
  <w:style w:type="character" w:styleId="IntenseReference">
    <w:name w:val="Intense Reference"/>
    <w:basedOn w:val="DefaultParagraphFont"/>
    <w:uiPriority w:val="32"/>
    <w:qFormat/>
    <w:rsid w:val="008b4da5"/>
    <w:rPr>
      <w:b/>
      <w:bCs/>
      <w:smallCaps/>
      <w:color w:themeColor="accent1" w:themeShade="bf" w:val="0F4761"/>
      <w:spacing w:val="5"/>
    </w:rPr>
  </w:style>
  <w:style w:type="character" w:styleId="Hyperlink">
    <w:name w:val="Hyperlink"/>
    <w:basedOn w:val="DefaultParagraphFont"/>
    <w:uiPriority w:val="99"/>
    <w:unhideWhenUsed/>
    <w:rsid w:val="008b4da5"/>
    <w:rPr>
      <w:color w:themeColor="hyperlink" w:val="467886"/>
      <w:u w:val="single"/>
    </w:rPr>
  </w:style>
  <w:style w:type="character" w:styleId="SidehovedTegn" w:customStyle="1">
    <w:name w:val="Sidehoved Tegn"/>
    <w:basedOn w:val="DefaultParagraphFont"/>
    <w:uiPriority w:val="99"/>
    <w:qFormat/>
    <w:rsid w:val="008b4da5"/>
    <w:rPr>
      <w:kern w:val="0"/>
      <w14:ligatures w14:val="none"/>
    </w:rPr>
  </w:style>
  <w:style w:type="character" w:styleId="SidefodTegn" w:customStyle="1">
    <w:name w:val="Sidefod Tegn"/>
    <w:basedOn w:val="DefaultParagraphFont"/>
    <w:uiPriority w:val="99"/>
    <w:qFormat/>
    <w:rsid w:val="008b4da5"/>
    <w:rPr>
      <w:kern w:val="0"/>
      <w14:ligatures w14:val="none"/>
    </w:rPr>
  </w:style>
  <w:style w:type="character" w:styleId="Emphasis">
    <w:name w:val="Emphasis"/>
    <w:basedOn w:val="DefaultParagraphFont"/>
    <w:uiPriority w:val="20"/>
    <w:qFormat/>
    <w:rsid w:val="004415b3"/>
    <w:rPr>
      <w:i/>
      <w:iCs/>
    </w:rPr>
  </w:style>
  <w:style w:type="character" w:styleId="Registerlink">
    <w:name w:val="Registerlink"/>
    <w:qFormat/>
    <w:rPr/>
  </w:style>
  <w:style w:type="paragraph" w:styleId="Overskrift">
    <w:name w:val="Oversk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Registerfortegnelse">
    <w:name w:val="Register/fortegnelse"/>
    <w:basedOn w:val="Normal"/>
    <w:qFormat/>
    <w:pPr>
      <w:suppressLineNumbers/>
    </w:pPr>
    <w:rPr>
      <w:rFonts w:cs="Lucida Sans"/>
    </w:rPr>
  </w:style>
  <w:style w:type="paragraph" w:styleId="Title">
    <w:name w:val="Title"/>
    <w:basedOn w:val="Normal"/>
    <w:next w:val="Normal"/>
    <w:link w:val="TitelTegn"/>
    <w:uiPriority w:val="10"/>
    <w:qFormat/>
    <w:rsid w:val="008b4da5"/>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UndertitelTegn"/>
    <w:uiPriority w:val="11"/>
    <w:qFormat/>
    <w:rsid w:val="008b4da5"/>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tTegn"/>
    <w:uiPriority w:val="29"/>
    <w:qFormat/>
    <w:rsid w:val="008b4da5"/>
    <w:pPr>
      <w:spacing w:before="160" w:after="160"/>
      <w:jc w:val="center"/>
    </w:pPr>
    <w:rPr>
      <w:i/>
      <w:iCs/>
      <w:color w:themeColor="text1" w:themeTint="bf" w:val="404040"/>
    </w:rPr>
  </w:style>
  <w:style w:type="paragraph" w:styleId="ListParagraph">
    <w:name w:val="List Paragraph"/>
    <w:basedOn w:val="Normal"/>
    <w:uiPriority w:val="34"/>
    <w:qFormat/>
    <w:rsid w:val="008b4da5"/>
    <w:pPr>
      <w:spacing w:before="0" w:after="160"/>
      <w:ind w:left="720"/>
      <w:contextualSpacing/>
    </w:pPr>
    <w:rPr/>
  </w:style>
  <w:style w:type="paragraph" w:styleId="IntenseQuote">
    <w:name w:val="Intense Quote"/>
    <w:basedOn w:val="Normal"/>
    <w:next w:val="Normal"/>
    <w:link w:val="StrktcitatTegn"/>
    <w:uiPriority w:val="30"/>
    <w:qFormat/>
    <w:rsid w:val="008b4da5"/>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IndexHeading">
    <w:name w:val="index heading"/>
    <w:basedOn w:val="Overskrift"/>
    <w:pPr/>
    <w:rPr/>
  </w:style>
  <w:style w:type="paragraph" w:styleId="TOCHeading">
    <w:name w:val="TOC Heading"/>
    <w:basedOn w:val="Heading1"/>
    <w:next w:val="Normal"/>
    <w:uiPriority w:val="39"/>
    <w:unhideWhenUsed/>
    <w:qFormat/>
    <w:rsid w:val="008b4da5"/>
    <w:pPr>
      <w:spacing w:before="240" w:after="0"/>
      <w:outlineLvl w:val="9"/>
    </w:pPr>
    <w:rPr>
      <w:sz w:val="32"/>
      <w:szCs w:val="32"/>
      <w:lang w:eastAsia="da-DK"/>
    </w:rPr>
  </w:style>
  <w:style w:type="paragraph" w:styleId="TOC1">
    <w:name w:val="toc 1"/>
    <w:basedOn w:val="Normal"/>
    <w:next w:val="Normal"/>
    <w:autoRedefine/>
    <w:uiPriority w:val="39"/>
    <w:unhideWhenUsed/>
    <w:rsid w:val="008b4da5"/>
    <w:pPr>
      <w:spacing w:before="0" w:after="100"/>
    </w:pPr>
    <w:rPr/>
  </w:style>
  <w:style w:type="paragraph" w:styleId="Sidehovedogsidefod">
    <w:name w:val="Sidehoved og sidefod"/>
    <w:basedOn w:val="Normal"/>
    <w:qFormat/>
    <w:pPr/>
    <w:rPr/>
  </w:style>
  <w:style w:type="paragraph" w:styleId="Header">
    <w:name w:val="header"/>
    <w:basedOn w:val="Normal"/>
    <w:link w:val="SidehovedTegn"/>
    <w:uiPriority w:val="99"/>
    <w:unhideWhenUsed/>
    <w:rsid w:val="008b4da5"/>
    <w:pPr>
      <w:tabs>
        <w:tab w:val="clear" w:pos="1304"/>
        <w:tab w:val="center" w:pos="4819" w:leader="none"/>
        <w:tab w:val="right" w:pos="9638" w:leader="none"/>
      </w:tabs>
      <w:spacing w:lineRule="auto" w:line="240" w:before="0" w:after="0"/>
    </w:pPr>
    <w:rPr/>
  </w:style>
  <w:style w:type="paragraph" w:styleId="Footer">
    <w:name w:val="footer"/>
    <w:basedOn w:val="Normal"/>
    <w:link w:val="SidefodTegn"/>
    <w:uiPriority w:val="99"/>
    <w:unhideWhenUsed/>
    <w:rsid w:val="008b4da5"/>
    <w:pPr>
      <w:tabs>
        <w:tab w:val="clear" w:pos="1304"/>
        <w:tab w:val="center" w:pos="4819" w:leader="none"/>
        <w:tab w:val="right" w:pos="9638" w:leader="none"/>
      </w:tabs>
      <w:spacing w:lineRule="auto" w:line="240" w:before="0" w:after="0"/>
    </w:pPr>
    <w:rPr/>
  </w:style>
  <w:style w:type="paragraph" w:styleId="NormalWeb">
    <w:name w:val="Normal (Web)"/>
    <w:basedOn w:val="Normal"/>
    <w:uiPriority w:val="99"/>
    <w:unhideWhenUsed/>
    <w:qFormat/>
    <w:rsid w:val="004415b3"/>
    <w:pPr>
      <w:spacing w:lineRule="auto" w:line="240" w:beforeAutospacing="1" w:afterAutospacing="1"/>
    </w:pPr>
    <w:rPr>
      <w:rFonts w:ascii="Times New Roman" w:hAnsi="Times New Roman" w:eastAsia="Times New Roman" w:cs="Times New Roman"/>
      <w:sz w:val="24"/>
      <w:szCs w:val="24"/>
      <w:lang w:eastAsia="da-DK"/>
    </w:rPr>
  </w:style>
  <w:style w:type="paragraph" w:styleId="TOC3">
    <w:name w:val="toc 3"/>
    <w:basedOn w:val="Normal"/>
    <w:next w:val="Normal"/>
    <w:autoRedefine/>
    <w:uiPriority w:val="39"/>
    <w:unhideWhenUsed/>
    <w:rsid w:val="00276801"/>
    <w:pPr>
      <w:spacing w:before="0" w:after="100"/>
      <w:ind w:left="440"/>
    </w:pPr>
    <w:rPr/>
  </w:style>
  <w:style w:type="paragraph" w:styleId="TOC2">
    <w:name w:val="toc 2"/>
    <w:basedOn w:val="Normal"/>
    <w:next w:val="Normal"/>
    <w:autoRedefine/>
    <w:uiPriority w:val="39"/>
    <w:unhideWhenUsed/>
    <w:rsid w:val="00276801"/>
    <w:pPr>
      <w:spacing w:before="0" w:after="100"/>
      <w:ind w:left="220"/>
    </w:pPr>
    <w:rPr/>
  </w:style>
  <w:style w:type="numbering" w:styleId="Ingenliste" w:default="1">
    <w:name w:val="Ingen liste"/>
    <w:uiPriority w:val="99"/>
    <w:semiHidden/>
    <w:unhideWhenUsed/>
    <w:qFormat/>
  </w:style>
  <w:style w:type="table" w:default="1" w:styleId="Tabel-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xmlns:r="http://schemas.openxmlformats.org/officeDocument/2006/relationships" name="Office-tema">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57</TotalTime>
  <Application>LibreOffice/25.2.5.2$Windows_X86_64 LibreOffice_project/03d19516eb2e1dd5d4ccd751a0d6f35f35e08022</Application>
  <AppVersion>15.0000</AppVersion>
  <Pages>7</Pages>
  <Words>2335</Words>
  <Characters>12569</Characters>
  <CharactersWithSpaces>14884</CharactersWithSpaces>
  <Paragraphs>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2025-06-11T11:06:00Z</dcterms:created>
  <dc:creator>David J. Grünhagen</dc:creator>
  <dc:description/>
  <dc:language>da-DK</dc:language>
  <cp:lastModifiedBy/>
  <dcterms:modified xsi:type="dcterms:W3CDTF">2025-08-19T09:19:38Z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