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04D56" w14:textId="77777777" w:rsidR="0051277B" w:rsidRPr="0051277B" w:rsidRDefault="0051277B" w:rsidP="0051277B">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r w:rsidRPr="0051277B">
        <w:rPr>
          <w:rFonts w:ascii="var(--font-title)" w:eastAsia="Times New Roman" w:hAnsi="var(--font-title)" w:cs="Noto Sans"/>
          <w:b/>
          <w:bCs/>
          <w:color w:val="333333"/>
          <w:kern w:val="36"/>
          <w:sz w:val="42"/>
          <w:szCs w:val="42"/>
          <w:lang w:eastAsia="da-DK"/>
          <w14:ligatures w14:val="none"/>
        </w:rPr>
        <w:t>Det andet køn – Beauvoir og Butler</w:t>
      </w:r>
    </w:p>
    <w:p w14:paraId="13D3C79E" w14:textId="72904FB4" w:rsidR="0051277B" w:rsidRPr="0051277B" w:rsidRDefault="000B1BC4" w:rsidP="0051277B">
      <w:pPr>
        <w:shd w:val="clear" w:color="auto" w:fill="FFFFFF"/>
        <w:spacing w:beforeAutospacing="1" w:after="100" w:afterAutospacing="1" w:line="240" w:lineRule="auto"/>
        <w:rPr>
          <w:rFonts w:ascii="var(--font-content)" w:eastAsia="Times New Roman" w:hAnsi="var(--font-content)" w:cs="Noto Sans"/>
          <w:i/>
          <w:iCs/>
          <w:color w:val="333333"/>
          <w:kern w:val="0"/>
          <w:sz w:val="26"/>
          <w:szCs w:val="26"/>
          <w:lang w:eastAsia="da-DK"/>
          <w14:ligatures w14:val="none"/>
        </w:rPr>
      </w:pPr>
      <w:r>
        <w:rPr>
          <w:rFonts w:ascii="var(--font-content)" w:eastAsia="Times New Roman" w:hAnsi="var(--font-content)" w:cs="Noto Sans"/>
          <w:i/>
          <w:iCs/>
          <w:color w:val="333333"/>
          <w:kern w:val="0"/>
          <w:sz w:val="26"/>
          <w:szCs w:val="26"/>
          <w:lang w:eastAsia="da-DK"/>
          <w14:ligatures w14:val="none"/>
        </w:rPr>
        <w:t>”</w:t>
      </w:r>
      <w:r w:rsidR="0051277B" w:rsidRPr="0051277B">
        <w:rPr>
          <w:rFonts w:ascii="var(--font-content)" w:eastAsia="Times New Roman" w:hAnsi="var(--font-content)" w:cs="Noto Sans"/>
          <w:i/>
          <w:iCs/>
          <w:color w:val="333333"/>
          <w:kern w:val="0"/>
          <w:sz w:val="26"/>
          <w:szCs w:val="26"/>
          <w:lang w:eastAsia="da-DK"/>
          <w14:ligatures w14:val="none"/>
        </w:rPr>
        <w:t xml:space="preserve">Forholdet mellem de to køn kan ikke sammenlignes med forholdet mellem elektriske poler. Manden repræsenterer på én gang det positive og neutrale, og det i den grad, at 'les </w:t>
      </w:r>
      <w:proofErr w:type="spellStart"/>
      <w:r w:rsidR="0051277B" w:rsidRPr="0051277B">
        <w:rPr>
          <w:rFonts w:ascii="var(--font-content)" w:eastAsia="Times New Roman" w:hAnsi="var(--font-content)" w:cs="Noto Sans"/>
          <w:i/>
          <w:iCs/>
          <w:color w:val="333333"/>
          <w:kern w:val="0"/>
          <w:sz w:val="26"/>
          <w:szCs w:val="26"/>
          <w:lang w:eastAsia="da-DK"/>
          <w14:ligatures w14:val="none"/>
        </w:rPr>
        <w:t>hommes</w:t>
      </w:r>
      <w:proofErr w:type="spellEnd"/>
      <w:r w:rsidR="0051277B" w:rsidRPr="0051277B">
        <w:rPr>
          <w:rFonts w:ascii="var(--font-content)" w:eastAsia="Times New Roman" w:hAnsi="var(--font-content)" w:cs="Noto Sans"/>
          <w:i/>
          <w:iCs/>
          <w:color w:val="333333"/>
          <w:kern w:val="0"/>
          <w:sz w:val="26"/>
          <w:szCs w:val="26"/>
          <w:lang w:eastAsia="da-DK"/>
          <w14:ligatures w14:val="none"/>
        </w:rPr>
        <w:t>' på fransk betyder både mændene og menneskene. (…) Kvinden derimod står for det negative, eftersom alle definitioner af hende indebærer en begrænsning, uden at noget tilsvarende gælder for manden.</w:t>
      </w:r>
      <w:r>
        <w:rPr>
          <w:rFonts w:ascii="var(--font-content)" w:eastAsia="Times New Roman" w:hAnsi="var(--font-content)" w:cs="Noto Sans"/>
          <w:i/>
          <w:iCs/>
          <w:color w:val="333333"/>
          <w:kern w:val="0"/>
          <w:sz w:val="26"/>
          <w:szCs w:val="26"/>
          <w:lang w:eastAsia="da-DK"/>
          <w14:ligatures w14:val="none"/>
        </w:rPr>
        <w:t>”</w:t>
      </w:r>
    </w:p>
    <w:p w14:paraId="3E9DB71D" w14:textId="77777777" w:rsidR="0051277B" w:rsidRPr="0051277B" w:rsidRDefault="0051277B" w:rsidP="0051277B">
      <w:pPr>
        <w:shd w:val="clear" w:color="auto" w:fill="FFFFFF"/>
        <w:spacing w:after="100" w:line="360" w:lineRule="atLeast"/>
        <w:rPr>
          <w:rFonts w:ascii="var(--font-content)" w:eastAsia="Times New Roman" w:hAnsi="var(--font-content)" w:cs="Noto Sans"/>
          <w:color w:val="767676"/>
          <w:kern w:val="0"/>
          <w:sz w:val="23"/>
          <w:szCs w:val="23"/>
          <w:lang w:eastAsia="da-DK"/>
          <w14:ligatures w14:val="none"/>
        </w:rPr>
      </w:pPr>
      <w:r w:rsidRPr="0051277B">
        <w:rPr>
          <w:rFonts w:ascii="var(--font-content)" w:eastAsia="Times New Roman" w:hAnsi="var(--font-content)" w:cs="Noto Sans"/>
          <w:color w:val="767676"/>
          <w:kern w:val="0"/>
          <w:sz w:val="23"/>
          <w:szCs w:val="23"/>
          <w:lang w:eastAsia="da-DK"/>
          <w14:ligatures w14:val="none"/>
        </w:rPr>
        <w:t>Beauvoir 1989: 13</w:t>
      </w:r>
    </w:p>
    <w:p w14:paraId="4386AEA6" w14:textId="77777777" w:rsidR="0051277B" w:rsidRPr="0051277B" w:rsidRDefault="0051277B" w:rsidP="0051277B">
      <w:pPr>
        <w:shd w:val="clear" w:color="auto" w:fill="FFFFFF"/>
        <w:spacing w:beforeAutospacing="1" w:after="0" w:afterAutospacing="1" w:line="240" w:lineRule="auto"/>
        <w:rPr>
          <w:rFonts w:ascii="var(--font-content)" w:eastAsia="Times New Roman" w:hAnsi="var(--font-content)" w:cs="Noto Sans"/>
          <w:color w:val="333333"/>
          <w:kern w:val="0"/>
          <w:lang w:eastAsia="da-DK"/>
          <w14:ligatures w14:val="none"/>
        </w:rPr>
      </w:pPr>
      <w:r w:rsidRPr="0051277B">
        <w:rPr>
          <w:rFonts w:ascii="var(--font-content)" w:eastAsia="Times New Roman" w:hAnsi="var(--font-content)" w:cs="Noto Sans"/>
          <w:b/>
          <w:bCs/>
          <w:color w:val="333333"/>
          <w:kern w:val="0"/>
          <w:lang w:eastAsia="da-DK"/>
          <w14:ligatures w14:val="none"/>
        </w:rPr>
        <w:t>Simone de Beauvoir (1908-86)</w:t>
      </w:r>
      <w:r w:rsidRPr="0051277B">
        <w:rPr>
          <w:rFonts w:ascii="var(--font-content)" w:eastAsia="Times New Roman" w:hAnsi="var(--font-content)" w:cs="Noto Sans"/>
          <w:color w:val="333333"/>
          <w:kern w:val="0"/>
          <w:lang w:eastAsia="da-DK"/>
          <w14:ligatures w14:val="none"/>
        </w:rPr>
        <w:t xml:space="preserve"> er en af de vigtigste skikkelser i den franske eksistentialisme. Hun er opvokset i en borgerlig, velhavende familie. De mister en del af formuen under 1. verdenskrig, men opretholder facaden. Husets to døtre bliver sendt på en velrenommeret klosterskole og derfra videre til </w:t>
      </w:r>
      <w:proofErr w:type="spellStart"/>
      <w:r w:rsidRPr="0051277B">
        <w:rPr>
          <w:rFonts w:ascii="var(--font-content)" w:eastAsia="Times New Roman" w:hAnsi="var(--font-content)" w:cs="Noto Sans"/>
          <w:color w:val="333333"/>
          <w:kern w:val="0"/>
          <w:lang w:eastAsia="da-DK"/>
          <w14:ligatures w14:val="none"/>
        </w:rPr>
        <w:t>École</w:t>
      </w:r>
      <w:proofErr w:type="spellEnd"/>
      <w:r w:rsidRPr="0051277B">
        <w:rPr>
          <w:rFonts w:ascii="var(--font-content)" w:eastAsia="Times New Roman" w:hAnsi="var(--font-content)" w:cs="Noto Sans"/>
          <w:color w:val="333333"/>
          <w:kern w:val="0"/>
          <w:lang w:eastAsia="da-DK"/>
          <w14:ligatures w14:val="none"/>
        </w:rPr>
        <w:t xml:space="preserve"> Normale </w:t>
      </w:r>
      <w:proofErr w:type="spellStart"/>
      <w:r w:rsidRPr="0051277B">
        <w:rPr>
          <w:rFonts w:ascii="var(--font-content)" w:eastAsia="Times New Roman" w:hAnsi="var(--font-content)" w:cs="Noto Sans"/>
          <w:color w:val="333333"/>
          <w:kern w:val="0"/>
          <w:lang w:eastAsia="da-DK"/>
          <w14:ligatures w14:val="none"/>
        </w:rPr>
        <w:t>Supérieure</w:t>
      </w:r>
      <w:proofErr w:type="spellEnd"/>
      <w:r w:rsidRPr="0051277B">
        <w:rPr>
          <w:rFonts w:ascii="var(--font-content)" w:eastAsia="Times New Roman" w:hAnsi="var(--font-content)" w:cs="Noto Sans"/>
          <w:color w:val="333333"/>
          <w:kern w:val="0"/>
          <w:lang w:eastAsia="da-DK"/>
          <w14:ligatures w14:val="none"/>
        </w:rPr>
        <w:t>, hvor hun møder Jean-Paul Sartre.</w:t>
      </w:r>
    </w:p>
    <w:p w14:paraId="20E6EB5A" w14:textId="77777777" w:rsidR="0051277B" w:rsidRPr="0051277B" w:rsidRDefault="0051277B" w:rsidP="0051277B">
      <w:pPr>
        <w:shd w:val="clear" w:color="auto" w:fill="FFFFFF"/>
        <w:spacing w:beforeAutospacing="1" w:after="0" w:afterAutospacing="1" w:line="240" w:lineRule="auto"/>
        <w:rPr>
          <w:rFonts w:ascii="var(--font-content)" w:eastAsia="Times New Roman" w:hAnsi="var(--font-content)" w:cs="Noto Sans"/>
          <w:color w:val="333333"/>
          <w:kern w:val="0"/>
          <w:lang w:eastAsia="da-DK"/>
          <w14:ligatures w14:val="none"/>
        </w:rPr>
      </w:pPr>
      <w:r w:rsidRPr="0051277B">
        <w:rPr>
          <w:rFonts w:ascii="var(--font-content)" w:eastAsia="Times New Roman" w:hAnsi="var(--font-content)" w:cs="Noto Sans"/>
          <w:color w:val="333333"/>
          <w:kern w:val="0"/>
          <w:lang w:eastAsia="da-DK"/>
          <w14:ligatures w14:val="none"/>
        </w:rPr>
        <w:t>Hun dimitterer som han fra filosofistudiet i 1929, hvor hun er den hidtil yngste kandidat på kun 21 år. Herefter er hun gymnasielærer en årrække, hvorefter hun ernærer sig som forfatter. Hun får sit helt store gennembrud med romanen </w:t>
      </w:r>
      <w:r w:rsidRPr="0051277B">
        <w:rPr>
          <w:rFonts w:ascii="var(--font-content)" w:eastAsia="Times New Roman" w:hAnsi="var(--font-content)" w:cs="Noto Sans"/>
          <w:i/>
          <w:iCs/>
          <w:color w:val="333333"/>
          <w:kern w:val="0"/>
          <w:lang w:eastAsia="da-DK"/>
          <w14:ligatures w14:val="none"/>
        </w:rPr>
        <w:t>Mandarinerne</w:t>
      </w:r>
      <w:r w:rsidRPr="0051277B">
        <w:rPr>
          <w:rFonts w:ascii="var(--font-content)" w:eastAsia="Times New Roman" w:hAnsi="var(--font-content)" w:cs="Noto Sans"/>
          <w:color w:val="333333"/>
          <w:kern w:val="0"/>
          <w:lang w:eastAsia="da-DK"/>
          <w14:ligatures w14:val="none"/>
        </w:rPr>
        <w:t xml:space="preserve"> (1954), der skildrer eksistentialisternes liv i fiktionsform. Romanen vinder den store </w:t>
      </w:r>
      <w:proofErr w:type="spellStart"/>
      <w:r w:rsidRPr="0051277B">
        <w:rPr>
          <w:rFonts w:ascii="var(--font-content)" w:eastAsia="Times New Roman" w:hAnsi="var(--font-content)" w:cs="Noto Sans"/>
          <w:color w:val="333333"/>
          <w:kern w:val="0"/>
          <w:lang w:eastAsia="da-DK"/>
          <w14:ligatures w14:val="none"/>
        </w:rPr>
        <w:t>Goncourt</w:t>
      </w:r>
      <w:proofErr w:type="spellEnd"/>
      <w:r w:rsidRPr="0051277B">
        <w:rPr>
          <w:rFonts w:ascii="var(--font-content)" w:eastAsia="Times New Roman" w:hAnsi="var(--font-content)" w:cs="Noto Sans"/>
          <w:color w:val="333333"/>
          <w:kern w:val="0"/>
          <w:lang w:eastAsia="da-DK"/>
          <w14:ligatures w14:val="none"/>
        </w:rPr>
        <w:t>-pris og bliver årets bog i Frankrig.</w:t>
      </w:r>
    </w:p>
    <w:p w14:paraId="55DF9564" w14:textId="77777777" w:rsidR="0051277B" w:rsidRPr="0051277B" w:rsidRDefault="0051277B" w:rsidP="0051277B">
      <w:pPr>
        <w:shd w:val="clear" w:color="auto" w:fill="FFFFFF"/>
        <w:spacing w:beforeAutospacing="1" w:after="0" w:afterAutospacing="1" w:line="240" w:lineRule="auto"/>
        <w:rPr>
          <w:rFonts w:ascii="var(--font-content)" w:eastAsia="Times New Roman" w:hAnsi="var(--font-content)" w:cs="Noto Sans"/>
          <w:color w:val="333333"/>
          <w:kern w:val="0"/>
          <w:lang w:eastAsia="da-DK"/>
          <w14:ligatures w14:val="none"/>
        </w:rPr>
      </w:pPr>
      <w:r w:rsidRPr="0051277B">
        <w:rPr>
          <w:rFonts w:ascii="var(--font-content)" w:eastAsia="Times New Roman" w:hAnsi="var(--font-content)" w:cs="Noto Sans"/>
          <w:color w:val="333333"/>
          <w:kern w:val="0"/>
          <w:lang w:eastAsia="da-DK"/>
          <w14:ligatures w14:val="none"/>
        </w:rPr>
        <w:t>Det er helt bevidst, at Simone de Beauvoir laver en pagt med Sartre om et livslangt åbent forhold, hvor de begge har elskere. Beauvoir fravælger det at få børn for ikke at blive låst fast i en kvinderolle som datidens franske kvinder. Hun vil leve sit eget liv på egne præmisser, og det er dette projekt, hun teoretiserer over i </w:t>
      </w:r>
      <w:r w:rsidRPr="0051277B">
        <w:rPr>
          <w:rFonts w:ascii="var(--font-content)" w:eastAsia="Times New Roman" w:hAnsi="var(--font-content)" w:cs="Noto Sans"/>
          <w:i/>
          <w:iCs/>
          <w:color w:val="333333"/>
          <w:kern w:val="0"/>
          <w:lang w:eastAsia="da-DK"/>
          <w14:ligatures w14:val="none"/>
        </w:rPr>
        <w:t>Det andet køn</w:t>
      </w:r>
      <w:r w:rsidRPr="0051277B">
        <w:rPr>
          <w:rFonts w:ascii="var(--font-content)" w:eastAsia="Times New Roman" w:hAnsi="var(--font-content)" w:cs="Noto Sans"/>
          <w:color w:val="333333"/>
          <w:kern w:val="0"/>
          <w:lang w:eastAsia="da-DK"/>
          <w14:ligatures w14:val="none"/>
        </w:rPr>
        <w:t> (1949).</w:t>
      </w:r>
    </w:p>
    <w:p w14:paraId="7D72F1EB" w14:textId="77777777" w:rsidR="0051277B" w:rsidRPr="0051277B" w:rsidRDefault="0051277B" w:rsidP="0051277B">
      <w:pPr>
        <w:shd w:val="clear" w:color="auto" w:fill="FFFFFF"/>
        <w:spacing w:before="100" w:beforeAutospacing="1" w:after="100" w:afterAutospacing="1" w:line="240" w:lineRule="auto"/>
        <w:rPr>
          <w:rFonts w:ascii="var(--font-content)" w:eastAsia="Times New Roman" w:hAnsi="var(--font-content)" w:cs="Noto Sans"/>
          <w:color w:val="333333"/>
          <w:kern w:val="0"/>
          <w:lang w:eastAsia="da-DK"/>
          <w14:ligatures w14:val="none"/>
        </w:rPr>
      </w:pPr>
      <w:r w:rsidRPr="0051277B">
        <w:rPr>
          <w:rFonts w:ascii="var(--font-content)" w:eastAsia="Times New Roman" w:hAnsi="var(--font-content)" w:cs="Noto Sans"/>
          <w:color w:val="333333"/>
          <w:kern w:val="0"/>
          <w:lang w:eastAsia="da-DK"/>
          <w14:ligatures w14:val="none"/>
        </w:rPr>
        <w:t>Når bogen får den titel, er det, fordi Beauvoir ønsker at frigøre kvinderollen fra at være negativt defineret ud fra mandssamfundets præmisser. Som citatet ovenfor eksemplarisk viser det, er Beauvoir den første, der gør op med en binær (todelt) forståelse af kønnene.</w:t>
      </w:r>
    </w:p>
    <w:p w14:paraId="3DB7C759" w14:textId="77777777" w:rsidR="0051277B" w:rsidRPr="0051277B" w:rsidRDefault="0051277B" w:rsidP="0051277B">
      <w:pPr>
        <w:shd w:val="clear" w:color="auto" w:fill="FFFFFF"/>
        <w:spacing w:beforeAutospacing="1" w:after="0" w:afterAutospacing="1" w:line="240" w:lineRule="auto"/>
        <w:rPr>
          <w:rFonts w:ascii="var(--font-content)" w:eastAsia="Times New Roman" w:hAnsi="var(--font-content)" w:cs="Noto Sans"/>
          <w:color w:val="333333"/>
          <w:kern w:val="0"/>
          <w:lang w:eastAsia="da-DK"/>
          <w14:ligatures w14:val="none"/>
        </w:rPr>
      </w:pPr>
      <w:r w:rsidRPr="0051277B">
        <w:rPr>
          <w:rFonts w:ascii="var(--font-content)" w:eastAsia="Times New Roman" w:hAnsi="var(--font-content)" w:cs="Noto Sans"/>
          <w:color w:val="333333"/>
          <w:kern w:val="0"/>
          <w:lang w:eastAsia="da-DK"/>
          <w14:ligatures w14:val="none"/>
        </w:rPr>
        <w:t>I sin analyse kritiserer hun både </w:t>
      </w:r>
      <w:r w:rsidRPr="0051277B">
        <w:rPr>
          <w:rFonts w:ascii="var(--font-content)" w:eastAsia="Times New Roman" w:hAnsi="var(--font-content)" w:cs="Noto Sans"/>
          <w:i/>
          <w:iCs/>
          <w:color w:val="333333"/>
          <w:kern w:val="0"/>
          <w:lang w:eastAsia="da-DK"/>
          <w14:ligatures w14:val="none"/>
        </w:rPr>
        <w:t>Bibelen</w:t>
      </w:r>
      <w:r w:rsidRPr="0051277B">
        <w:rPr>
          <w:rFonts w:ascii="var(--font-content)" w:eastAsia="Times New Roman" w:hAnsi="var(--font-content)" w:cs="Noto Sans"/>
          <w:color w:val="333333"/>
          <w:kern w:val="0"/>
          <w:lang w:eastAsia="da-DK"/>
          <w14:ligatures w14:val="none"/>
        </w:rPr>
        <w:t> og kristne filosoffer for at reducere kvinderollen. Fx er Evas skabelse sekundær til Adams. Hun bliver lavet af et overflødigt ribben fra ham. Da </w:t>
      </w:r>
      <w:r w:rsidRPr="0051277B">
        <w:rPr>
          <w:rFonts w:ascii="var(--font-content)" w:eastAsia="Times New Roman" w:hAnsi="var(--font-content)" w:cs="Noto Sans"/>
          <w:i/>
          <w:iCs/>
          <w:color w:val="333333"/>
          <w:kern w:val="0"/>
          <w:lang w:eastAsia="da-DK"/>
          <w14:ligatures w14:val="none"/>
        </w:rPr>
        <w:t>Det andet køn</w:t>
      </w:r>
      <w:r w:rsidRPr="0051277B">
        <w:rPr>
          <w:rFonts w:ascii="var(--font-content)" w:eastAsia="Times New Roman" w:hAnsi="var(--font-content)" w:cs="Noto Sans"/>
          <w:color w:val="333333"/>
          <w:kern w:val="0"/>
          <w:lang w:eastAsia="da-DK"/>
          <w14:ligatures w14:val="none"/>
        </w:rPr>
        <w:t> udkommer, får Beauvoir ikke bare paven, men hele den katolske kirke på nakken.</w:t>
      </w:r>
    </w:p>
    <w:p w14:paraId="4E67684A" w14:textId="77777777" w:rsidR="0051277B" w:rsidRPr="0051277B" w:rsidRDefault="0051277B" w:rsidP="0051277B">
      <w:pPr>
        <w:shd w:val="clear" w:color="auto" w:fill="FFFFFF"/>
        <w:spacing w:beforeAutospacing="1" w:after="0" w:afterAutospacing="1" w:line="240" w:lineRule="auto"/>
        <w:rPr>
          <w:rFonts w:ascii="var(--font-content)" w:eastAsia="Times New Roman" w:hAnsi="var(--font-content)" w:cs="Noto Sans"/>
          <w:color w:val="333333"/>
          <w:kern w:val="0"/>
          <w:lang w:eastAsia="da-DK"/>
          <w14:ligatures w14:val="none"/>
        </w:rPr>
      </w:pPr>
      <w:r w:rsidRPr="0051277B">
        <w:rPr>
          <w:rFonts w:ascii="var(--font-content)" w:eastAsia="Times New Roman" w:hAnsi="var(--font-content)" w:cs="Noto Sans"/>
          <w:color w:val="333333"/>
          <w:kern w:val="0"/>
          <w:lang w:eastAsia="da-DK"/>
          <w14:ligatures w14:val="none"/>
        </w:rPr>
        <w:t>Beauvoir baserer sin analyse på filosoffen G.W.F. Hegels dialektik. Hegel definerer et berømt sted i </w:t>
      </w:r>
      <w:r w:rsidRPr="0051277B">
        <w:rPr>
          <w:rFonts w:ascii="var(--font-content)" w:eastAsia="Times New Roman" w:hAnsi="var(--font-content)" w:cs="Noto Sans"/>
          <w:i/>
          <w:iCs/>
          <w:color w:val="333333"/>
          <w:kern w:val="0"/>
          <w:lang w:eastAsia="da-DK"/>
          <w14:ligatures w14:val="none"/>
        </w:rPr>
        <w:t>Åndens fænomenologi</w:t>
      </w:r>
      <w:r w:rsidRPr="0051277B">
        <w:rPr>
          <w:rFonts w:ascii="var(--font-content)" w:eastAsia="Times New Roman" w:hAnsi="var(--font-content)" w:cs="Noto Sans"/>
          <w:color w:val="333333"/>
          <w:kern w:val="0"/>
          <w:lang w:eastAsia="da-DK"/>
          <w14:ligatures w14:val="none"/>
        </w:rPr>
        <w:t> (1807) begrebet </w:t>
      </w:r>
      <w:r w:rsidRPr="0051277B">
        <w:rPr>
          <w:rFonts w:ascii="var(--font-content)" w:eastAsia="Times New Roman" w:hAnsi="var(--font-content)" w:cs="Noto Sans"/>
          <w:i/>
          <w:iCs/>
          <w:color w:val="333333"/>
          <w:kern w:val="0"/>
          <w:lang w:eastAsia="da-DK"/>
          <w14:ligatures w14:val="none"/>
        </w:rPr>
        <w:t>anerkendelse</w:t>
      </w:r>
      <w:r w:rsidRPr="0051277B">
        <w:rPr>
          <w:rFonts w:ascii="var(--font-content)" w:eastAsia="Times New Roman" w:hAnsi="var(--font-content)" w:cs="Noto Sans"/>
          <w:color w:val="333333"/>
          <w:kern w:val="0"/>
          <w:lang w:eastAsia="da-DK"/>
          <w14:ligatures w14:val="none"/>
        </w:rPr>
        <w:t> ud fra en analyse af den gensidige afhængighed mellem herre og slave. Hegel peger på, at trællen har brug for herrens beskyttelse og forsørgelse, mens herren har brug for slavens arbejde. Ved at anerkende hinandens roller, kan de nå til en overenskomst, der er til alles bedste.</w:t>
      </w:r>
    </w:p>
    <w:p w14:paraId="7018B93E" w14:textId="77777777" w:rsidR="0051277B" w:rsidRPr="0051277B" w:rsidRDefault="0051277B" w:rsidP="0051277B">
      <w:pPr>
        <w:shd w:val="clear" w:color="auto" w:fill="FFFFFF"/>
        <w:spacing w:beforeAutospacing="1" w:after="0" w:afterAutospacing="1" w:line="240" w:lineRule="auto"/>
        <w:rPr>
          <w:rFonts w:ascii="var(--font-content)" w:eastAsia="Times New Roman" w:hAnsi="var(--font-content)" w:cs="Noto Sans"/>
          <w:color w:val="333333"/>
          <w:kern w:val="0"/>
          <w:lang w:eastAsia="da-DK"/>
          <w14:ligatures w14:val="none"/>
        </w:rPr>
      </w:pPr>
      <w:r w:rsidRPr="0051277B">
        <w:rPr>
          <w:rFonts w:ascii="var(--font-content)" w:eastAsia="Times New Roman" w:hAnsi="var(--font-content)" w:cs="Noto Sans"/>
          <w:color w:val="333333"/>
          <w:kern w:val="0"/>
          <w:lang w:eastAsia="da-DK"/>
          <w14:ligatures w14:val="none"/>
        </w:rPr>
        <w:t>Hvis man udskifter herre og træl med mand og kvinde, forstår man, hvorfor kvinden er blevet det </w:t>
      </w:r>
      <w:r w:rsidRPr="0051277B">
        <w:rPr>
          <w:rFonts w:ascii="var(--font-content)" w:eastAsia="Times New Roman" w:hAnsi="var(--font-content)" w:cs="Noto Sans"/>
          <w:i/>
          <w:iCs/>
          <w:color w:val="333333"/>
          <w:kern w:val="0"/>
          <w:lang w:eastAsia="da-DK"/>
          <w14:ligatures w14:val="none"/>
        </w:rPr>
        <w:t>andet</w:t>
      </w:r>
      <w:r w:rsidRPr="0051277B">
        <w:rPr>
          <w:rFonts w:ascii="var(--font-content)" w:eastAsia="Times New Roman" w:hAnsi="var(--font-content)" w:cs="Noto Sans"/>
          <w:color w:val="333333"/>
          <w:kern w:val="0"/>
          <w:lang w:eastAsia="da-DK"/>
          <w14:ligatures w14:val="none"/>
        </w:rPr>
        <w:t> køn. Det skyldes, at samfundene er </w:t>
      </w:r>
      <w:r w:rsidRPr="0051277B">
        <w:rPr>
          <w:rFonts w:ascii="var(--font-content)" w:eastAsia="Times New Roman" w:hAnsi="var(--font-content)" w:cs="Noto Sans"/>
          <w:i/>
          <w:iCs/>
          <w:color w:val="333333"/>
          <w:kern w:val="0"/>
          <w:lang w:eastAsia="da-DK"/>
          <w14:ligatures w14:val="none"/>
        </w:rPr>
        <w:t>patriarkalske</w:t>
      </w:r>
      <w:r w:rsidRPr="0051277B">
        <w:rPr>
          <w:rFonts w:ascii="var(--font-content)" w:eastAsia="Times New Roman" w:hAnsi="var(--font-content)" w:cs="Noto Sans"/>
          <w:color w:val="333333"/>
          <w:kern w:val="0"/>
          <w:lang w:eastAsia="da-DK"/>
          <w14:ligatures w14:val="none"/>
        </w:rPr>
        <w:t>, og kvinder defineres ud fra mangler i stedet for egne kvaliteter. Hegels udlægning af dannelse består kort sagt i, at man skal møde noget andet end sig selv for at nå til selvbevidsthed. Det er Beauvoir for så vidt enig i, men ikke når det sker på mandssamfundets præmisser. Her bliver kvinden en 'væren-for-</w:t>
      </w:r>
      <w:r w:rsidRPr="0051277B">
        <w:rPr>
          <w:rFonts w:ascii="var(--font-content)" w:eastAsia="Times New Roman" w:hAnsi="var(--font-content)" w:cs="Noto Sans"/>
          <w:color w:val="333333"/>
          <w:kern w:val="0"/>
          <w:lang w:eastAsia="da-DK"/>
          <w14:ligatures w14:val="none"/>
        </w:rPr>
        <w:lastRenderedPageBreak/>
        <w:t>anden', et objekt for begær, og samfundsmæssigt fastholdt i en fast defineret rolle som hustru og moder.</w:t>
      </w:r>
    </w:p>
    <w:p w14:paraId="7F8781F8" w14:textId="77777777" w:rsidR="0051277B" w:rsidRPr="0051277B" w:rsidRDefault="0051277B" w:rsidP="0051277B">
      <w:pPr>
        <w:shd w:val="clear" w:color="auto" w:fill="FFFFFF"/>
        <w:spacing w:beforeAutospacing="1" w:after="0" w:afterAutospacing="1" w:line="240" w:lineRule="auto"/>
        <w:rPr>
          <w:rFonts w:ascii="var(--font-content)" w:eastAsia="Times New Roman" w:hAnsi="var(--font-content)" w:cs="Noto Sans"/>
          <w:color w:val="333333"/>
          <w:kern w:val="0"/>
          <w:lang w:eastAsia="da-DK"/>
          <w14:ligatures w14:val="none"/>
        </w:rPr>
      </w:pPr>
      <w:r w:rsidRPr="0051277B">
        <w:rPr>
          <w:rFonts w:ascii="var(--font-content)" w:eastAsia="Times New Roman" w:hAnsi="var(--font-content)" w:cs="Noto Sans"/>
          <w:color w:val="333333"/>
          <w:kern w:val="0"/>
          <w:lang w:eastAsia="da-DK"/>
          <w14:ligatures w14:val="none"/>
        </w:rPr>
        <w:t>Marx kritiserede ligesom Beauvoir Hegels tænkning for undertrykkelse. Hvor Marx analyserer forholdet mellem kapitalister og arbejdere, ser Beauvoir på forholdet mellem mand og kvinde og finder i lighed med Marx ud af, at kvinderne fremmedgøres og undertrykkes i det samfund, de lever i. De bliver objektgjorte og mister deres frihed.</w:t>
      </w:r>
    </w:p>
    <w:p w14:paraId="0C921071" w14:textId="77777777" w:rsidR="0051277B" w:rsidRPr="0051277B" w:rsidRDefault="0051277B" w:rsidP="0051277B">
      <w:pPr>
        <w:shd w:val="clear" w:color="auto" w:fill="FFFFFF"/>
        <w:spacing w:beforeAutospacing="1" w:after="0" w:afterAutospacing="1" w:line="240" w:lineRule="auto"/>
        <w:rPr>
          <w:rFonts w:ascii="var(--font-content)" w:eastAsia="Times New Roman" w:hAnsi="var(--font-content)" w:cs="Noto Sans"/>
          <w:color w:val="333333"/>
          <w:kern w:val="0"/>
          <w:lang w:eastAsia="da-DK"/>
          <w14:ligatures w14:val="none"/>
        </w:rPr>
      </w:pPr>
      <w:r w:rsidRPr="0051277B">
        <w:rPr>
          <w:rFonts w:ascii="var(--font-content)" w:eastAsia="Times New Roman" w:hAnsi="var(--font-content)" w:cs="Noto Sans"/>
          <w:color w:val="333333"/>
          <w:kern w:val="0"/>
          <w:lang w:eastAsia="da-DK"/>
          <w14:ligatures w14:val="none"/>
        </w:rPr>
        <w:t>Ligesom Sartre mener Beauvoir, at </w:t>
      </w:r>
      <w:r w:rsidRPr="0051277B">
        <w:rPr>
          <w:rFonts w:ascii="var(--font-content)" w:eastAsia="Times New Roman" w:hAnsi="var(--font-content)" w:cs="Noto Sans"/>
          <w:i/>
          <w:iCs/>
          <w:color w:val="333333"/>
          <w:kern w:val="0"/>
          <w:lang w:eastAsia="da-DK"/>
          <w14:ligatures w14:val="none"/>
        </w:rPr>
        <w:t>eksistensen går forud for essensen</w:t>
      </w:r>
      <w:r w:rsidRPr="0051277B">
        <w:rPr>
          <w:rFonts w:ascii="var(--font-content)" w:eastAsia="Times New Roman" w:hAnsi="var(--font-content)" w:cs="Noto Sans"/>
          <w:color w:val="333333"/>
          <w:kern w:val="0"/>
          <w:lang w:eastAsia="da-DK"/>
          <w14:ligatures w14:val="none"/>
        </w:rPr>
        <w:t xml:space="preserve">. </w:t>
      </w:r>
      <w:proofErr w:type="gramStart"/>
      <w:r w:rsidRPr="0051277B">
        <w:rPr>
          <w:rFonts w:ascii="var(--font-content)" w:eastAsia="Times New Roman" w:hAnsi="var(--font-content)" w:cs="Noto Sans"/>
          <w:color w:val="333333"/>
          <w:kern w:val="0"/>
          <w:lang w:eastAsia="da-DK"/>
          <w14:ligatures w14:val="none"/>
        </w:rPr>
        <w:t>Følgeligt</w:t>
      </w:r>
      <w:proofErr w:type="gramEnd"/>
      <w:r w:rsidRPr="0051277B">
        <w:rPr>
          <w:rFonts w:ascii="var(--font-content)" w:eastAsia="Times New Roman" w:hAnsi="var(--font-content)" w:cs="Noto Sans"/>
          <w:color w:val="333333"/>
          <w:kern w:val="0"/>
          <w:lang w:eastAsia="da-DK"/>
          <w14:ligatures w14:val="none"/>
        </w:rPr>
        <w:t xml:space="preserve"> fødes man ikke som kvinde, man bliver det, som det hedder et berømt sted i </w:t>
      </w:r>
      <w:r w:rsidRPr="0051277B">
        <w:rPr>
          <w:rFonts w:ascii="var(--font-content)" w:eastAsia="Times New Roman" w:hAnsi="var(--font-content)" w:cs="Noto Sans"/>
          <w:i/>
          <w:iCs/>
          <w:color w:val="333333"/>
          <w:kern w:val="0"/>
          <w:lang w:eastAsia="da-DK"/>
          <w14:ligatures w14:val="none"/>
        </w:rPr>
        <w:t>Det andet køn</w:t>
      </w:r>
      <w:r w:rsidRPr="0051277B">
        <w:rPr>
          <w:rFonts w:ascii="var(--font-content)" w:eastAsia="Times New Roman" w:hAnsi="var(--font-content)" w:cs="Noto Sans"/>
          <w:color w:val="333333"/>
          <w:kern w:val="0"/>
          <w:lang w:eastAsia="da-DK"/>
          <w14:ligatures w14:val="none"/>
        </w:rPr>
        <w:t> (Beauvoir 1989, bd. 2: 13). Der findes ikke noget </w:t>
      </w:r>
      <w:r w:rsidRPr="0051277B">
        <w:rPr>
          <w:rFonts w:ascii="var(--font-content)" w:eastAsia="Times New Roman" w:hAnsi="var(--font-content)" w:cs="Noto Sans"/>
          <w:i/>
          <w:iCs/>
          <w:color w:val="333333"/>
          <w:kern w:val="0"/>
          <w:lang w:eastAsia="da-DK"/>
          <w14:ligatures w14:val="none"/>
        </w:rPr>
        <w:t>evigt kvindeligt</w:t>
      </w:r>
      <w:r w:rsidRPr="0051277B">
        <w:rPr>
          <w:rFonts w:ascii="var(--font-content)" w:eastAsia="Times New Roman" w:hAnsi="var(--font-content)" w:cs="Noto Sans"/>
          <w:color w:val="333333"/>
          <w:kern w:val="0"/>
          <w:lang w:eastAsia="da-DK"/>
          <w14:ligatures w14:val="none"/>
        </w:rPr>
        <w:t>, hvilket digteren J.W. Goethe ellers gjorde til en fast vending i </w:t>
      </w:r>
      <w:r w:rsidRPr="0051277B">
        <w:rPr>
          <w:rFonts w:ascii="var(--font-content)" w:eastAsia="Times New Roman" w:hAnsi="var(--font-content)" w:cs="Noto Sans"/>
          <w:i/>
          <w:iCs/>
          <w:color w:val="333333"/>
          <w:kern w:val="0"/>
          <w:lang w:eastAsia="da-DK"/>
          <w14:ligatures w14:val="none"/>
        </w:rPr>
        <w:t>Faust</w:t>
      </w:r>
      <w:r w:rsidRPr="0051277B">
        <w:rPr>
          <w:rFonts w:ascii="var(--font-content)" w:eastAsia="Times New Roman" w:hAnsi="var(--font-content)" w:cs="Noto Sans"/>
          <w:color w:val="333333"/>
          <w:kern w:val="0"/>
          <w:lang w:eastAsia="da-DK"/>
          <w14:ligatures w14:val="none"/>
        </w:rPr>
        <w:t> (1808). Det er en fiktion ifølge Beauvoir. Man kan vælge at være kvinde eller lade være. Man kan være kvinde på tusind måder. Det er op til den enkelte.</w:t>
      </w:r>
    </w:p>
    <w:p w14:paraId="5A8D7094" w14:textId="77777777" w:rsidR="0051277B" w:rsidRPr="0051277B" w:rsidRDefault="0051277B" w:rsidP="0051277B">
      <w:pPr>
        <w:shd w:val="clear" w:color="auto" w:fill="FFFFFF"/>
        <w:spacing w:beforeAutospacing="1" w:after="0" w:afterAutospacing="1" w:line="240" w:lineRule="auto"/>
        <w:rPr>
          <w:rFonts w:ascii="var(--font-content)" w:eastAsia="Times New Roman" w:hAnsi="var(--font-content)" w:cs="Noto Sans"/>
          <w:color w:val="333333"/>
          <w:kern w:val="0"/>
          <w:lang w:eastAsia="da-DK"/>
          <w14:ligatures w14:val="none"/>
        </w:rPr>
      </w:pPr>
      <w:r w:rsidRPr="0051277B">
        <w:rPr>
          <w:rFonts w:ascii="var(--font-content)" w:eastAsia="Times New Roman" w:hAnsi="var(--font-content)" w:cs="Noto Sans"/>
          <w:color w:val="333333"/>
          <w:kern w:val="0"/>
          <w:lang w:eastAsia="da-DK"/>
          <w14:ligatures w14:val="none"/>
        </w:rPr>
        <w:t>Ligesom Sartre mener Beauvoir, at individet kan overskride sig selv ved at kaste sig fremad i en given retning med et bestemt projekt for øje. Det kaldes også hos hende at </w:t>
      </w:r>
      <w:r w:rsidRPr="0051277B">
        <w:rPr>
          <w:rFonts w:ascii="var(--font-content)" w:eastAsia="Times New Roman" w:hAnsi="var(--font-content)" w:cs="Noto Sans"/>
          <w:i/>
          <w:iCs/>
          <w:color w:val="333333"/>
          <w:kern w:val="0"/>
          <w:lang w:eastAsia="da-DK"/>
          <w14:ligatures w14:val="none"/>
        </w:rPr>
        <w:t>transcendere</w:t>
      </w:r>
      <w:r w:rsidRPr="0051277B">
        <w:rPr>
          <w:rFonts w:ascii="var(--font-content)" w:eastAsia="Times New Roman" w:hAnsi="var(--font-content)" w:cs="Noto Sans"/>
          <w:color w:val="333333"/>
          <w:kern w:val="0"/>
          <w:lang w:eastAsia="da-DK"/>
          <w14:ligatures w14:val="none"/>
        </w:rPr>
        <w:t>. På den måde kan man overskride de forståelser af kvinderollen, som tidens kvinder er fanget i (immanens).</w:t>
      </w:r>
    </w:p>
    <w:p w14:paraId="7F24BA13" w14:textId="77777777" w:rsidR="0051277B" w:rsidRPr="0051277B" w:rsidRDefault="0051277B" w:rsidP="0051277B">
      <w:pPr>
        <w:shd w:val="clear" w:color="auto" w:fill="FFFFFF"/>
        <w:spacing w:beforeAutospacing="1" w:after="0" w:afterAutospacing="1" w:line="240" w:lineRule="auto"/>
        <w:rPr>
          <w:rFonts w:ascii="var(--font-content)" w:eastAsia="Times New Roman" w:hAnsi="var(--font-content)" w:cs="Noto Sans"/>
          <w:color w:val="333333"/>
          <w:kern w:val="0"/>
          <w:lang w:eastAsia="da-DK"/>
          <w14:ligatures w14:val="none"/>
        </w:rPr>
      </w:pPr>
      <w:r w:rsidRPr="0051277B">
        <w:rPr>
          <w:rFonts w:ascii="var(--font-content)" w:eastAsia="Times New Roman" w:hAnsi="var(--font-content)" w:cs="Noto Sans"/>
          <w:color w:val="333333"/>
          <w:kern w:val="0"/>
          <w:lang w:eastAsia="da-DK"/>
          <w14:ligatures w14:val="none"/>
        </w:rPr>
        <w:t>Med sine formuleringer kommer Beauvoir til at foregribe </w:t>
      </w:r>
      <w:r w:rsidRPr="0051277B">
        <w:rPr>
          <w:rFonts w:ascii="var(--font-content)" w:eastAsia="Times New Roman" w:hAnsi="var(--font-content)" w:cs="Noto Sans"/>
          <w:i/>
          <w:iCs/>
          <w:color w:val="333333"/>
          <w:kern w:val="0"/>
          <w:lang w:eastAsia="da-DK"/>
          <w14:ligatures w14:val="none"/>
        </w:rPr>
        <w:t>kønskonstruktivisme</w:t>
      </w:r>
      <w:r w:rsidRPr="0051277B">
        <w:rPr>
          <w:rFonts w:ascii="var(--font-content)" w:eastAsia="Times New Roman" w:hAnsi="var(--font-content)" w:cs="Noto Sans"/>
          <w:color w:val="333333"/>
          <w:kern w:val="0"/>
          <w:lang w:eastAsia="da-DK"/>
          <w14:ligatures w14:val="none"/>
        </w:rPr>
        <w:t>, som i 1990'erne bliver formuleret af kønsforskere som Judith Butler. Beauvoir adskiller som en af første kvindens biologi, samfundets normer og individets egen forståelse fra hinanden og bringer alle tre parametre i spil.</w:t>
      </w:r>
    </w:p>
    <w:p w14:paraId="3F0362B7" w14:textId="77777777" w:rsidR="0051277B" w:rsidRPr="0051277B" w:rsidRDefault="0051277B" w:rsidP="0051277B">
      <w:pPr>
        <w:shd w:val="clear" w:color="auto" w:fill="FFFFFF"/>
        <w:spacing w:before="100" w:beforeAutospacing="1" w:after="100" w:afterAutospacing="1" w:line="240" w:lineRule="auto"/>
        <w:rPr>
          <w:rFonts w:ascii="var(--font-content)" w:eastAsia="Times New Roman" w:hAnsi="var(--font-content)" w:cs="Noto Sans"/>
          <w:color w:val="333333"/>
          <w:kern w:val="0"/>
          <w:lang w:eastAsia="da-DK"/>
          <w14:ligatures w14:val="none"/>
        </w:rPr>
      </w:pPr>
      <w:r w:rsidRPr="0051277B">
        <w:rPr>
          <w:rFonts w:ascii="var(--font-content)" w:eastAsia="Times New Roman" w:hAnsi="var(--font-content)" w:cs="Noto Sans"/>
          <w:color w:val="333333"/>
          <w:kern w:val="0"/>
          <w:lang w:eastAsia="da-DK"/>
          <w14:ligatures w14:val="none"/>
        </w:rPr>
        <w:t>Beauvoirs budskab lyder på, at man skal deltage i samfundet og ikke lade sig begrænse af køn, normer eller forventninger. Selv skriver hun som sagt både fiktion, erindringer, filosofiske værker og essays, hvor hun tematiserer kvinderollen og peger på frigørelsesmuligheder.</w:t>
      </w:r>
    </w:p>
    <w:p w14:paraId="7FEECB09" w14:textId="77777777" w:rsidR="0051277B" w:rsidRPr="0051277B" w:rsidRDefault="0051277B" w:rsidP="0051277B">
      <w:pPr>
        <w:shd w:val="clear" w:color="auto" w:fill="FFFFFF"/>
        <w:spacing w:after="0" w:line="240" w:lineRule="auto"/>
        <w:rPr>
          <w:rFonts w:ascii="var(--font-content)" w:eastAsia="Times New Roman" w:hAnsi="var(--font-content)" w:cs="Noto Sans"/>
          <w:color w:val="333333"/>
          <w:kern w:val="0"/>
          <w:lang w:eastAsia="da-DK"/>
          <w14:ligatures w14:val="none"/>
        </w:rPr>
      </w:pPr>
      <w:r w:rsidRPr="0051277B">
        <w:rPr>
          <w:rFonts w:ascii="var(--font-content)" w:eastAsia="Times New Roman" w:hAnsi="var(--font-content)" w:cs="Noto Sans"/>
          <w:color w:val="333333"/>
          <w:kern w:val="0"/>
          <w:lang w:eastAsia="da-DK"/>
          <w14:ligatures w14:val="none"/>
        </w:rPr>
        <w:t>Beauvoir bliver derfor en helt for de anden fase-feminister, der i Danmark kommer til at gå under betegnelsen rødstrømper. Hendes engagement på den franske venstrefløj og frigørelse fra ægteskabet kommer til at danne prototype for mange kvinder i 1960'erne og 1970'erne.</w:t>
      </w:r>
    </w:p>
    <w:p w14:paraId="06F02031" w14:textId="77777777" w:rsidR="0051277B" w:rsidRPr="0051277B" w:rsidRDefault="0051277B" w:rsidP="000B1BC4">
      <w:pPr>
        <w:pStyle w:val="Overskrift1"/>
        <w:rPr>
          <w:rFonts w:eastAsia="Times New Roman"/>
          <w:lang w:eastAsia="da-DK"/>
        </w:rPr>
      </w:pPr>
      <w:r w:rsidRPr="0051277B">
        <w:rPr>
          <w:rFonts w:eastAsia="Times New Roman"/>
          <w:lang w:eastAsia="da-DK"/>
        </w:rPr>
        <w:t>Kønsballade</w:t>
      </w:r>
    </w:p>
    <w:p w14:paraId="450FBE4F" w14:textId="77777777" w:rsidR="0051277B" w:rsidRPr="0051277B" w:rsidRDefault="0051277B" w:rsidP="0051277B">
      <w:pPr>
        <w:shd w:val="clear" w:color="auto" w:fill="FFFFFF"/>
        <w:spacing w:beforeAutospacing="1" w:after="0" w:afterAutospacing="1" w:line="240" w:lineRule="auto"/>
        <w:rPr>
          <w:rFonts w:ascii="var(--font-content)" w:eastAsia="Times New Roman" w:hAnsi="var(--font-content)" w:cs="Noto Sans"/>
          <w:color w:val="333333"/>
          <w:kern w:val="0"/>
          <w:lang w:eastAsia="da-DK"/>
          <w14:ligatures w14:val="none"/>
        </w:rPr>
      </w:pPr>
      <w:r w:rsidRPr="0051277B">
        <w:rPr>
          <w:rFonts w:ascii="var(--font-content)" w:eastAsia="Times New Roman" w:hAnsi="var(--font-content)" w:cs="Noto Sans"/>
          <w:color w:val="333333"/>
          <w:kern w:val="0"/>
          <w:lang w:eastAsia="da-DK"/>
          <w14:ligatures w14:val="none"/>
        </w:rPr>
        <w:t>I forordet til bogen </w:t>
      </w:r>
      <w:proofErr w:type="spellStart"/>
      <w:r w:rsidRPr="0051277B">
        <w:rPr>
          <w:rFonts w:ascii="var(--font-content)" w:eastAsia="Times New Roman" w:hAnsi="var(--font-content)" w:cs="Noto Sans"/>
          <w:i/>
          <w:iCs/>
          <w:color w:val="333333"/>
          <w:kern w:val="0"/>
          <w:lang w:eastAsia="da-DK"/>
          <w14:ligatures w14:val="none"/>
        </w:rPr>
        <w:t>Gender</w:t>
      </w:r>
      <w:proofErr w:type="spellEnd"/>
      <w:r w:rsidRPr="0051277B">
        <w:rPr>
          <w:rFonts w:ascii="var(--font-content)" w:eastAsia="Times New Roman" w:hAnsi="var(--font-content)" w:cs="Noto Sans"/>
          <w:i/>
          <w:iCs/>
          <w:color w:val="333333"/>
          <w:kern w:val="0"/>
          <w:lang w:eastAsia="da-DK"/>
          <w14:ligatures w14:val="none"/>
        </w:rPr>
        <w:t xml:space="preserve"> </w:t>
      </w:r>
      <w:proofErr w:type="spellStart"/>
      <w:r w:rsidRPr="0051277B">
        <w:rPr>
          <w:rFonts w:ascii="var(--font-content)" w:eastAsia="Times New Roman" w:hAnsi="var(--font-content)" w:cs="Noto Sans"/>
          <w:i/>
          <w:iCs/>
          <w:color w:val="333333"/>
          <w:kern w:val="0"/>
          <w:lang w:eastAsia="da-DK"/>
          <w14:ligatures w14:val="none"/>
        </w:rPr>
        <w:t>Trouble</w:t>
      </w:r>
      <w:proofErr w:type="spellEnd"/>
      <w:r w:rsidRPr="0051277B">
        <w:rPr>
          <w:rFonts w:ascii="var(--font-content)" w:eastAsia="Times New Roman" w:hAnsi="var(--font-content)" w:cs="Noto Sans"/>
          <w:color w:val="333333"/>
          <w:kern w:val="0"/>
          <w:lang w:eastAsia="da-DK"/>
          <w14:ligatures w14:val="none"/>
        </w:rPr>
        <w:t> (1990, da. </w:t>
      </w:r>
      <w:r w:rsidRPr="0051277B">
        <w:rPr>
          <w:rFonts w:ascii="var(--font-content)" w:eastAsia="Times New Roman" w:hAnsi="var(--font-content)" w:cs="Noto Sans"/>
          <w:i/>
          <w:iCs/>
          <w:color w:val="333333"/>
          <w:kern w:val="0"/>
          <w:lang w:eastAsia="da-DK"/>
          <w14:ligatures w14:val="none"/>
        </w:rPr>
        <w:t>Kønsballade</w:t>
      </w:r>
      <w:r w:rsidRPr="0051277B">
        <w:rPr>
          <w:rFonts w:ascii="var(--font-content)" w:eastAsia="Times New Roman" w:hAnsi="var(--font-content)" w:cs="Noto Sans"/>
          <w:color w:val="333333"/>
          <w:kern w:val="0"/>
          <w:lang w:eastAsia="da-DK"/>
          <w14:ligatures w14:val="none"/>
        </w:rPr>
        <w:t>, 2011) citerer Judith Butler (f. 1956) Beauvoirs formulering om, at man ikke fødes som kvinde, men bliver det. I bogen gør hun sig til talskvinde for det synspunkt, at køn ikke (kun) er en biologisk essens, men i høj grad en social konstruktion. Køn er for Butler noget, vi gør, ikke noget, vi er.</w:t>
      </w:r>
    </w:p>
    <w:p w14:paraId="0804B39F" w14:textId="77777777" w:rsidR="0051277B" w:rsidRPr="0051277B" w:rsidRDefault="0051277B" w:rsidP="0051277B">
      <w:pPr>
        <w:shd w:val="clear" w:color="auto" w:fill="FFFFFF"/>
        <w:spacing w:beforeAutospacing="1" w:after="0" w:afterAutospacing="1" w:line="240" w:lineRule="auto"/>
        <w:rPr>
          <w:rFonts w:ascii="var(--font-content)" w:eastAsia="Times New Roman" w:hAnsi="var(--font-content)" w:cs="Noto Sans"/>
          <w:color w:val="333333"/>
          <w:kern w:val="0"/>
          <w:lang w:eastAsia="da-DK"/>
          <w14:ligatures w14:val="none"/>
        </w:rPr>
      </w:pPr>
      <w:r w:rsidRPr="0051277B">
        <w:rPr>
          <w:rFonts w:ascii="var(--font-content)" w:eastAsia="Times New Roman" w:hAnsi="var(--font-content)" w:cs="Noto Sans"/>
          <w:color w:val="333333"/>
          <w:kern w:val="0"/>
          <w:lang w:eastAsia="da-DK"/>
          <w14:ligatures w14:val="none"/>
        </w:rPr>
        <w:t>Hun er derfor uenig med Beauvoir i forståelsen af kategorien </w:t>
      </w:r>
      <w:r w:rsidRPr="0051277B">
        <w:rPr>
          <w:rFonts w:ascii="var(--font-content)" w:eastAsia="Times New Roman" w:hAnsi="var(--font-content)" w:cs="Noto Sans"/>
          <w:i/>
          <w:iCs/>
          <w:color w:val="333333"/>
          <w:kern w:val="0"/>
          <w:lang w:eastAsia="da-DK"/>
          <w14:ligatures w14:val="none"/>
        </w:rPr>
        <w:t>valg</w:t>
      </w:r>
      <w:r w:rsidRPr="0051277B">
        <w:rPr>
          <w:rFonts w:ascii="var(--font-content)" w:eastAsia="Times New Roman" w:hAnsi="var(--font-content)" w:cs="Noto Sans"/>
          <w:color w:val="333333"/>
          <w:kern w:val="0"/>
          <w:lang w:eastAsia="da-DK"/>
          <w14:ligatures w14:val="none"/>
        </w:rPr>
        <w:t>. For Butler er det lidt naivt at tro, at der er et frit subjekt, som selv får lov at definere sig selv som køn. Her er Butler elev af den franske idehistoriker Michel Foucault (1926-1984), der peger på, at samfundet forud for individets valg sætter de diskurser, der muliggør og definerer adfærdstyper.</w:t>
      </w:r>
    </w:p>
    <w:p w14:paraId="376B82D9" w14:textId="77777777" w:rsidR="0051277B" w:rsidRPr="0051277B" w:rsidRDefault="0051277B" w:rsidP="0051277B">
      <w:pPr>
        <w:shd w:val="clear" w:color="auto" w:fill="FFFFFF"/>
        <w:spacing w:beforeAutospacing="1" w:after="0" w:afterAutospacing="1" w:line="240" w:lineRule="auto"/>
        <w:rPr>
          <w:rFonts w:ascii="var(--font-content)" w:eastAsia="Times New Roman" w:hAnsi="var(--font-content)" w:cs="Noto Sans"/>
          <w:color w:val="333333"/>
          <w:kern w:val="0"/>
          <w:lang w:eastAsia="da-DK"/>
          <w14:ligatures w14:val="none"/>
        </w:rPr>
      </w:pPr>
      <w:r w:rsidRPr="0051277B">
        <w:rPr>
          <w:rFonts w:ascii="var(--font-content)" w:eastAsia="Times New Roman" w:hAnsi="var(--font-content)" w:cs="Noto Sans"/>
          <w:color w:val="333333"/>
          <w:kern w:val="0"/>
          <w:lang w:eastAsia="da-DK"/>
          <w14:ligatures w14:val="none"/>
        </w:rPr>
        <w:t>Foucaults radikale påstand er, at seksualitet er et </w:t>
      </w:r>
      <w:r w:rsidRPr="0051277B">
        <w:rPr>
          <w:rFonts w:ascii="var(--font-content)" w:eastAsia="Times New Roman" w:hAnsi="var(--font-content)" w:cs="Noto Sans"/>
          <w:i/>
          <w:iCs/>
          <w:color w:val="333333"/>
          <w:kern w:val="0"/>
          <w:lang w:eastAsia="da-DK"/>
          <w14:ligatures w14:val="none"/>
        </w:rPr>
        <w:t>menneskeskabt</w:t>
      </w:r>
      <w:r w:rsidRPr="0051277B">
        <w:rPr>
          <w:rFonts w:ascii="var(--font-content)" w:eastAsia="Times New Roman" w:hAnsi="var(--font-content)" w:cs="Noto Sans"/>
          <w:color w:val="333333"/>
          <w:kern w:val="0"/>
          <w:lang w:eastAsia="da-DK"/>
          <w14:ligatures w14:val="none"/>
        </w:rPr>
        <w:t xml:space="preserve"> fænomen. At man definerer normal seksualitet som heteroseksualitet sker ikke tilfældigt under den snerpede </w:t>
      </w:r>
      <w:r w:rsidRPr="0051277B">
        <w:rPr>
          <w:rFonts w:ascii="var(--font-content)" w:eastAsia="Times New Roman" w:hAnsi="var(--font-content)" w:cs="Noto Sans"/>
          <w:color w:val="333333"/>
          <w:kern w:val="0"/>
          <w:lang w:eastAsia="da-DK"/>
          <w14:ligatures w14:val="none"/>
        </w:rPr>
        <w:lastRenderedPageBreak/>
        <w:t xml:space="preserve">victorianisme i 1800-tallets slutning. Netop fordi man her definerer korrekt kønslig omgang, bliver afvigelser og perversionerne synlige og får navn. At kønsdrift bliver til </w:t>
      </w:r>
      <w:proofErr w:type="gramStart"/>
      <w:r w:rsidRPr="0051277B">
        <w:rPr>
          <w:rFonts w:ascii="var(--font-content)" w:eastAsia="Times New Roman" w:hAnsi="var(--font-content)" w:cs="Noto Sans"/>
          <w:color w:val="333333"/>
          <w:kern w:val="0"/>
          <w:lang w:eastAsia="da-DK"/>
          <w14:ligatures w14:val="none"/>
        </w:rPr>
        <w:t>seksualitet</w:t>
      </w:r>
      <w:proofErr w:type="gramEnd"/>
      <w:r w:rsidRPr="0051277B">
        <w:rPr>
          <w:rFonts w:ascii="var(--font-content)" w:eastAsia="Times New Roman" w:hAnsi="var(--font-content)" w:cs="Noto Sans"/>
          <w:color w:val="333333"/>
          <w:kern w:val="0"/>
          <w:lang w:eastAsia="da-DK"/>
          <w14:ligatures w14:val="none"/>
        </w:rPr>
        <w:t xml:space="preserve"> er således </w:t>
      </w:r>
      <w:r w:rsidRPr="0051277B">
        <w:rPr>
          <w:rFonts w:ascii="var(--font-content)" w:eastAsia="Times New Roman" w:hAnsi="var(--font-content)" w:cs="Noto Sans"/>
          <w:i/>
          <w:iCs/>
          <w:color w:val="333333"/>
          <w:kern w:val="0"/>
          <w:lang w:eastAsia="da-DK"/>
          <w14:ligatures w14:val="none"/>
        </w:rPr>
        <w:t>kulturhistorie</w:t>
      </w:r>
      <w:r w:rsidRPr="0051277B">
        <w:rPr>
          <w:rFonts w:ascii="var(--font-content)" w:eastAsia="Times New Roman" w:hAnsi="var(--font-content)" w:cs="Noto Sans"/>
          <w:color w:val="333333"/>
          <w:kern w:val="0"/>
          <w:lang w:eastAsia="da-DK"/>
          <w14:ligatures w14:val="none"/>
        </w:rPr>
        <w:t>.</w:t>
      </w:r>
    </w:p>
    <w:p w14:paraId="32879F7E" w14:textId="77777777" w:rsidR="0051277B" w:rsidRPr="0051277B" w:rsidRDefault="0051277B" w:rsidP="0051277B">
      <w:pPr>
        <w:shd w:val="clear" w:color="auto" w:fill="FFFFFF"/>
        <w:spacing w:beforeAutospacing="1" w:after="0" w:afterAutospacing="1" w:line="240" w:lineRule="auto"/>
        <w:rPr>
          <w:rFonts w:ascii="var(--font-content)" w:eastAsia="Times New Roman" w:hAnsi="var(--font-content)" w:cs="Noto Sans"/>
          <w:color w:val="333333"/>
          <w:kern w:val="0"/>
          <w:lang w:eastAsia="da-DK"/>
          <w14:ligatures w14:val="none"/>
        </w:rPr>
      </w:pPr>
      <w:r w:rsidRPr="0051277B">
        <w:rPr>
          <w:rFonts w:ascii="var(--font-content)" w:eastAsia="Times New Roman" w:hAnsi="var(--font-content)" w:cs="Noto Sans"/>
          <w:color w:val="333333"/>
          <w:kern w:val="0"/>
          <w:lang w:eastAsia="da-DK"/>
          <w14:ligatures w14:val="none"/>
        </w:rPr>
        <w:t>Ifølge Butler er det gennem barnets socialisation, at kønsroller læres og vendes indad som </w:t>
      </w:r>
      <w:r w:rsidRPr="0051277B">
        <w:rPr>
          <w:rFonts w:ascii="var(--font-content)" w:eastAsia="Times New Roman" w:hAnsi="var(--font-content)" w:cs="Noto Sans"/>
          <w:i/>
          <w:iCs/>
          <w:color w:val="333333"/>
          <w:kern w:val="0"/>
          <w:lang w:eastAsia="da-DK"/>
          <w14:ligatures w14:val="none"/>
        </w:rPr>
        <w:t>kønsidentitet</w:t>
      </w:r>
      <w:r w:rsidRPr="0051277B">
        <w:rPr>
          <w:rFonts w:ascii="var(--font-content)" w:eastAsia="Times New Roman" w:hAnsi="var(--font-content)" w:cs="Noto Sans"/>
          <w:color w:val="333333"/>
          <w:kern w:val="0"/>
          <w:lang w:eastAsia="da-DK"/>
          <w14:ligatures w14:val="none"/>
        </w:rPr>
        <w:t>, først gennem identifikation med forældrenes rollemønstre, og siden gennem samfundets. Kønnet bliver dermed en central del af identitetsdannelsen, herunder også i udviklingen af barnets seksualitet.</w:t>
      </w:r>
    </w:p>
    <w:p w14:paraId="17FE6464" w14:textId="77777777" w:rsidR="0051277B" w:rsidRPr="0051277B" w:rsidRDefault="0051277B" w:rsidP="0051277B">
      <w:pPr>
        <w:shd w:val="clear" w:color="auto" w:fill="FFFFFF"/>
        <w:spacing w:beforeAutospacing="1" w:after="0" w:afterAutospacing="1" w:line="240" w:lineRule="auto"/>
        <w:rPr>
          <w:rFonts w:ascii="var(--font-content)" w:eastAsia="Times New Roman" w:hAnsi="var(--font-content)" w:cs="Noto Sans"/>
          <w:color w:val="333333"/>
          <w:kern w:val="0"/>
          <w:lang w:eastAsia="da-DK"/>
          <w14:ligatures w14:val="none"/>
        </w:rPr>
      </w:pPr>
      <w:r w:rsidRPr="0051277B">
        <w:rPr>
          <w:rFonts w:ascii="var(--font-content)" w:eastAsia="Times New Roman" w:hAnsi="var(--font-content)" w:cs="Noto Sans"/>
          <w:color w:val="333333"/>
          <w:kern w:val="0"/>
          <w:lang w:eastAsia="da-DK"/>
          <w14:ligatures w14:val="none"/>
        </w:rPr>
        <w:t>Hovedsynspunktet hos Butler er, at køn ikke er noget, vi er, men snarere noget, vi </w:t>
      </w:r>
      <w:r w:rsidRPr="0051277B">
        <w:rPr>
          <w:rFonts w:ascii="var(--font-content)" w:eastAsia="Times New Roman" w:hAnsi="var(--font-content)" w:cs="Noto Sans"/>
          <w:i/>
          <w:iCs/>
          <w:color w:val="333333"/>
          <w:kern w:val="0"/>
          <w:lang w:eastAsia="da-DK"/>
          <w14:ligatures w14:val="none"/>
        </w:rPr>
        <w:t>gør</w:t>
      </w:r>
      <w:r w:rsidRPr="0051277B">
        <w:rPr>
          <w:rFonts w:ascii="var(--font-content)" w:eastAsia="Times New Roman" w:hAnsi="var(--font-content)" w:cs="Noto Sans"/>
          <w:color w:val="333333"/>
          <w:kern w:val="0"/>
          <w:lang w:eastAsia="da-DK"/>
          <w14:ligatures w14:val="none"/>
        </w:rPr>
        <w:t>. På den måde ligner hun Nietzsche og Brinkmann ved at mene, at identitet snarere er en effekt af handlinger end årsag til dem.</w:t>
      </w:r>
    </w:p>
    <w:p w14:paraId="155E0BF9" w14:textId="77777777" w:rsidR="0051277B" w:rsidRPr="0051277B" w:rsidRDefault="0051277B" w:rsidP="0051277B">
      <w:pPr>
        <w:shd w:val="clear" w:color="auto" w:fill="FFFFFF"/>
        <w:spacing w:beforeAutospacing="1" w:after="0" w:afterAutospacing="1" w:line="240" w:lineRule="auto"/>
        <w:rPr>
          <w:rFonts w:ascii="var(--font-content)" w:eastAsia="Times New Roman" w:hAnsi="var(--font-content)" w:cs="Noto Sans"/>
          <w:color w:val="333333"/>
          <w:kern w:val="0"/>
          <w:lang w:eastAsia="da-DK"/>
          <w14:ligatures w14:val="none"/>
        </w:rPr>
      </w:pPr>
      <w:r w:rsidRPr="0051277B">
        <w:rPr>
          <w:rFonts w:ascii="var(--font-content)" w:eastAsia="Times New Roman" w:hAnsi="var(--font-content)" w:cs="Noto Sans"/>
          <w:color w:val="333333"/>
          <w:kern w:val="0"/>
          <w:lang w:eastAsia="da-DK"/>
          <w14:ligatures w14:val="none"/>
        </w:rPr>
        <w:t>Judith Butler gør ligesom Beauvoir op med den binære (todelte) tankegang om mænd og kvinder. Som alternativ indfører Butler begrebet </w:t>
      </w:r>
      <w:r w:rsidRPr="0051277B">
        <w:rPr>
          <w:rFonts w:ascii="var(--font-content)" w:eastAsia="Times New Roman" w:hAnsi="var(--font-content)" w:cs="Noto Sans"/>
          <w:i/>
          <w:iCs/>
          <w:color w:val="333333"/>
          <w:kern w:val="0"/>
          <w:lang w:eastAsia="da-DK"/>
          <w14:ligatures w14:val="none"/>
        </w:rPr>
        <w:t>queer</w:t>
      </w:r>
      <w:r w:rsidRPr="0051277B">
        <w:rPr>
          <w:rFonts w:ascii="var(--font-content)" w:eastAsia="Times New Roman" w:hAnsi="var(--font-content)" w:cs="Noto Sans"/>
          <w:color w:val="333333"/>
          <w:kern w:val="0"/>
          <w:lang w:eastAsia="da-DK"/>
          <w14:ligatures w14:val="none"/>
        </w:rPr>
        <w:t>, der betyder mærkelig, underlig, tvivlsom eller fordægtig. Queer er på engelsk også det oprindeligt nedsættende begreb for 'bøsse'. Dette begreb vendes nu til en teoretisk kategori, som betegner de flydende områder imellem kønnene, hvor kønsidentiteten ikke ligger fast.</w:t>
      </w:r>
    </w:p>
    <w:p w14:paraId="53FE1969" w14:textId="77777777" w:rsidR="0051277B" w:rsidRPr="0051277B" w:rsidRDefault="0051277B" w:rsidP="0051277B">
      <w:pPr>
        <w:shd w:val="clear" w:color="auto" w:fill="FFFFFF"/>
        <w:spacing w:beforeAutospacing="1" w:after="0" w:afterAutospacing="1" w:line="240" w:lineRule="auto"/>
        <w:rPr>
          <w:rFonts w:ascii="var(--font-content)" w:eastAsia="Times New Roman" w:hAnsi="var(--font-content)" w:cs="Noto Sans"/>
          <w:color w:val="333333"/>
          <w:kern w:val="0"/>
          <w:lang w:eastAsia="da-DK"/>
          <w14:ligatures w14:val="none"/>
        </w:rPr>
      </w:pPr>
      <w:r w:rsidRPr="0051277B">
        <w:rPr>
          <w:rFonts w:ascii="var(--font-content)" w:eastAsia="Times New Roman" w:hAnsi="var(--font-content)" w:cs="Noto Sans"/>
          <w:color w:val="333333"/>
          <w:kern w:val="0"/>
          <w:lang w:eastAsia="da-DK"/>
          <w14:ligatures w14:val="none"/>
        </w:rPr>
        <w:t>I forordet til en senere udgave af </w:t>
      </w:r>
      <w:r w:rsidRPr="0051277B">
        <w:rPr>
          <w:rFonts w:ascii="var(--font-content)" w:eastAsia="Times New Roman" w:hAnsi="var(--font-content)" w:cs="Noto Sans"/>
          <w:i/>
          <w:iCs/>
          <w:color w:val="333333"/>
          <w:kern w:val="0"/>
          <w:lang w:eastAsia="da-DK"/>
          <w14:ligatures w14:val="none"/>
        </w:rPr>
        <w:t>Kønsballader</w:t>
      </w:r>
      <w:r w:rsidRPr="0051277B">
        <w:rPr>
          <w:rFonts w:ascii="var(--font-content)" w:eastAsia="Times New Roman" w:hAnsi="var(--font-content)" w:cs="Noto Sans"/>
          <w:color w:val="333333"/>
          <w:kern w:val="0"/>
          <w:lang w:eastAsia="da-DK"/>
          <w14:ligatures w14:val="none"/>
        </w:rPr>
        <w:t> peger Butler på sin inspiration fra forfatteren Franz Kafkas kortprosatekst "Foran loven" (1914). I den venter manden fra landet foran lovens dør for at få sanktioneret en bestemt mening med sit liv. Noget tilsvarende gælder kønnet.</w:t>
      </w:r>
    </w:p>
    <w:p w14:paraId="5621B5B3" w14:textId="77777777" w:rsidR="0051277B" w:rsidRPr="0051277B" w:rsidRDefault="0051277B" w:rsidP="0051277B">
      <w:pPr>
        <w:shd w:val="clear" w:color="auto" w:fill="FFFFFF"/>
        <w:spacing w:after="0" w:line="240" w:lineRule="auto"/>
        <w:rPr>
          <w:rFonts w:ascii="var(--font-content)" w:eastAsia="Times New Roman" w:hAnsi="var(--font-content)" w:cs="Noto Sans"/>
          <w:color w:val="333333"/>
          <w:kern w:val="0"/>
          <w:lang w:eastAsia="da-DK"/>
          <w14:ligatures w14:val="none"/>
        </w:rPr>
      </w:pPr>
      <w:r w:rsidRPr="0051277B">
        <w:rPr>
          <w:rFonts w:ascii="var(--font-content)" w:eastAsia="Times New Roman" w:hAnsi="var(--font-content)" w:cs="Noto Sans"/>
          <w:color w:val="333333"/>
          <w:kern w:val="0"/>
          <w:lang w:eastAsia="da-DK"/>
          <w14:ligatures w14:val="none"/>
        </w:rPr>
        <w:t>Her spejler individet sig i samfundets reaktioner for at skaffe sig en identitet. Butler mener, at det er denne mekanisme, der gør mennesker ufrie. I stedet for at lade sig definere udefra skal de handle og gøre køn frem for at lade sig fastlåse i en prædefineret venteposition.</w:t>
      </w:r>
    </w:p>
    <w:p w14:paraId="601B55AE" w14:textId="77777777" w:rsidR="009F2AD1" w:rsidRPr="000B1BC4" w:rsidRDefault="009F2AD1"/>
    <w:sectPr w:rsidR="009F2AD1" w:rsidRPr="000B1BC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ar(--font-title)">
    <w:altName w:val="Cambria"/>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 w:name="var(--font-conten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7B"/>
    <w:rsid w:val="000B1BC4"/>
    <w:rsid w:val="001F357E"/>
    <w:rsid w:val="004A27C1"/>
    <w:rsid w:val="0051277B"/>
    <w:rsid w:val="009F2AD1"/>
    <w:rsid w:val="00D410A4"/>
    <w:rsid w:val="00FF15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5EAB9B8"/>
  <w15:chartTrackingRefBased/>
  <w15:docId w15:val="{3A4CCCB5-D5A6-484E-BAF2-60161A88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57E"/>
    <w:rPr>
      <w:rFonts w:ascii="Calibri" w:hAnsi="Calibri"/>
    </w:rPr>
  </w:style>
  <w:style w:type="paragraph" w:styleId="Overskrift1">
    <w:name w:val="heading 1"/>
    <w:basedOn w:val="Normal"/>
    <w:next w:val="Normal"/>
    <w:link w:val="Overskrift1Tegn"/>
    <w:uiPriority w:val="9"/>
    <w:qFormat/>
    <w:rsid w:val="005127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5127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1277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1277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1277B"/>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51277B"/>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1277B"/>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51277B"/>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1277B"/>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1277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51277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1277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1277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1277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1277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1277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1277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1277B"/>
    <w:rPr>
      <w:rFonts w:eastAsiaTheme="majorEastAsia" w:cstheme="majorBidi"/>
      <w:color w:val="272727" w:themeColor="text1" w:themeTint="D8"/>
    </w:rPr>
  </w:style>
  <w:style w:type="paragraph" w:styleId="Titel">
    <w:name w:val="Title"/>
    <w:basedOn w:val="Normal"/>
    <w:next w:val="Normal"/>
    <w:link w:val="TitelTegn"/>
    <w:uiPriority w:val="10"/>
    <w:qFormat/>
    <w:rsid w:val="00512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1277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1277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1277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1277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1277B"/>
    <w:rPr>
      <w:rFonts w:ascii="Calibri" w:hAnsi="Calibri"/>
      <w:i/>
      <w:iCs/>
      <w:color w:val="404040" w:themeColor="text1" w:themeTint="BF"/>
    </w:rPr>
  </w:style>
  <w:style w:type="paragraph" w:styleId="Listeafsnit">
    <w:name w:val="List Paragraph"/>
    <w:basedOn w:val="Normal"/>
    <w:uiPriority w:val="34"/>
    <w:qFormat/>
    <w:rsid w:val="0051277B"/>
    <w:pPr>
      <w:ind w:left="720"/>
      <w:contextualSpacing/>
    </w:pPr>
  </w:style>
  <w:style w:type="character" w:styleId="Kraftigfremhvning">
    <w:name w:val="Intense Emphasis"/>
    <w:basedOn w:val="Standardskrifttypeiafsnit"/>
    <w:uiPriority w:val="21"/>
    <w:qFormat/>
    <w:rsid w:val="0051277B"/>
    <w:rPr>
      <w:i/>
      <w:iCs/>
      <w:color w:val="0F4761" w:themeColor="accent1" w:themeShade="BF"/>
    </w:rPr>
  </w:style>
  <w:style w:type="paragraph" w:styleId="Strktcitat">
    <w:name w:val="Intense Quote"/>
    <w:basedOn w:val="Normal"/>
    <w:next w:val="Normal"/>
    <w:link w:val="StrktcitatTegn"/>
    <w:uiPriority w:val="30"/>
    <w:qFormat/>
    <w:rsid w:val="00512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1277B"/>
    <w:rPr>
      <w:rFonts w:ascii="Calibri" w:hAnsi="Calibri"/>
      <w:i/>
      <w:iCs/>
      <w:color w:val="0F4761" w:themeColor="accent1" w:themeShade="BF"/>
    </w:rPr>
  </w:style>
  <w:style w:type="character" w:styleId="Kraftighenvisning">
    <w:name w:val="Intense Reference"/>
    <w:basedOn w:val="Standardskrifttypeiafsnit"/>
    <w:uiPriority w:val="32"/>
    <w:qFormat/>
    <w:rsid w:val="0051277B"/>
    <w:rPr>
      <w:b/>
      <w:bCs/>
      <w:smallCaps/>
      <w:color w:val="0F4761" w:themeColor="accent1" w:themeShade="BF"/>
      <w:spacing w:val="5"/>
    </w:rPr>
  </w:style>
  <w:style w:type="paragraph" w:styleId="NormalWeb">
    <w:name w:val="Normal (Web)"/>
    <w:basedOn w:val="Normal"/>
    <w:uiPriority w:val="99"/>
    <w:semiHidden/>
    <w:unhideWhenUsed/>
    <w:rsid w:val="0051277B"/>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paragraph" w:customStyle="1" w:styleId="kilde">
    <w:name w:val="kilde"/>
    <w:basedOn w:val="Normal"/>
    <w:rsid w:val="0051277B"/>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customStyle="1" w:styleId="index">
    <w:name w:val="index"/>
    <w:basedOn w:val="Standardskrifttypeiafsnit"/>
    <w:rsid w:val="0051277B"/>
  </w:style>
  <w:style w:type="character" w:styleId="HTML-citat">
    <w:name w:val="HTML Cite"/>
    <w:basedOn w:val="Standardskrifttypeiafsnit"/>
    <w:uiPriority w:val="99"/>
    <w:semiHidden/>
    <w:unhideWhenUsed/>
    <w:rsid w:val="0051277B"/>
    <w:rPr>
      <w:i/>
      <w:iCs/>
    </w:rPr>
  </w:style>
  <w:style w:type="character" w:styleId="Fremhv">
    <w:name w:val="Emphasis"/>
    <w:basedOn w:val="Standardskrifttypeiafsnit"/>
    <w:uiPriority w:val="20"/>
    <w:qFormat/>
    <w:rsid w:val="005127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167407">
      <w:bodyDiv w:val="1"/>
      <w:marLeft w:val="0"/>
      <w:marRight w:val="0"/>
      <w:marTop w:val="0"/>
      <w:marBottom w:val="0"/>
      <w:divBdr>
        <w:top w:val="none" w:sz="0" w:space="0" w:color="auto"/>
        <w:left w:val="none" w:sz="0" w:space="0" w:color="auto"/>
        <w:bottom w:val="none" w:sz="0" w:space="0" w:color="auto"/>
        <w:right w:val="none" w:sz="0" w:space="0" w:color="auto"/>
      </w:divBdr>
      <w:divsChild>
        <w:div w:id="251935753">
          <w:marLeft w:val="0"/>
          <w:marRight w:val="0"/>
          <w:marTop w:val="0"/>
          <w:marBottom w:val="0"/>
          <w:divBdr>
            <w:top w:val="none" w:sz="0" w:space="0" w:color="auto"/>
            <w:left w:val="none" w:sz="0" w:space="0" w:color="auto"/>
            <w:bottom w:val="none" w:sz="0" w:space="0" w:color="auto"/>
            <w:right w:val="none" w:sz="0" w:space="0" w:color="auto"/>
          </w:divBdr>
          <w:divsChild>
            <w:div w:id="2134707551">
              <w:marLeft w:val="0"/>
              <w:marRight w:val="0"/>
              <w:marTop w:val="0"/>
              <w:marBottom w:val="180"/>
              <w:divBdr>
                <w:top w:val="none" w:sz="0" w:space="0" w:color="auto"/>
                <w:left w:val="none" w:sz="0" w:space="0" w:color="auto"/>
                <w:bottom w:val="none" w:sz="0" w:space="0" w:color="auto"/>
                <w:right w:val="none" w:sz="0" w:space="0" w:color="auto"/>
              </w:divBdr>
              <w:divsChild>
                <w:div w:id="1926064239">
                  <w:marLeft w:val="0"/>
                  <w:marRight w:val="0"/>
                  <w:marTop w:val="0"/>
                  <w:marBottom w:val="0"/>
                  <w:divBdr>
                    <w:top w:val="none" w:sz="0" w:space="0" w:color="auto"/>
                    <w:left w:val="none" w:sz="0" w:space="0" w:color="auto"/>
                    <w:bottom w:val="none" w:sz="0" w:space="0" w:color="auto"/>
                    <w:right w:val="none" w:sz="0" w:space="0" w:color="auto"/>
                  </w:divBdr>
                  <w:divsChild>
                    <w:div w:id="640811334">
                      <w:marLeft w:val="0"/>
                      <w:marRight w:val="0"/>
                      <w:marTop w:val="0"/>
                      <w:marBottom w:val="0"/>
                      <w:divBdr>
                        <w:top w:val="none" w:sz="0" w:space="0" w:color="auto"/>
                        <w:left w:val="none" w:sz="0" w:space="0" w:color="auto"/>
                        <w:bottom w:val="none" w:sz="0" w:space="0" w:color="auto"/>
                        <w:right w:val="none" w:sz="0" w:space="0" w:color="auto"/>
                      </w:divBdr>
                      <w:divsChild>
                        <w:div w:id="1522890604">
                          <w:marLeft w:val="0"/>
                          <w:marRight w:val="0"/>
                          <w:marTop w:val="0"/>
                          <w:marBottom w:val="0"/>
                          <w:divBdr>
                            <w:top w:val="none" w:sz="0" w:space="0" w:color="auto"/>
                            <w:left w:val="none" w:sz="0" w:space="0" w:color="auto"/>
                            <w:bottom w:val="none" w:sz="0" w:space="0" w:color="auto"/>
                            <w:right w:val="none" w:sz="0" w:space="0" w:color="auto"/>
                          </w:divBdr>
                          <w:divsChild>
                            <w:div w:id="84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407798">
          <w:marLeft w:val="0"/>
          <w:marRight w:val="0"/>
          <w:marTop w:val="0"/>
          <w:marBottom w:val="0"/>
          <w:divBdr>
            <w:top w:val="none" w:sz="0" w:space="0" w:color="auto"/>
            <w:left w:val="none" w:sz="0" w:space="0" w:color="auto"/>
            <w:bottom w:val="none" w:sz="0" w:space="0" w:color="auto"/>
            <w:right w:val="none" w:sz="0" w:space="0" w:color="auto"/>
          </w:divBdr>
          <w:divsChild>
            <w:div w:id="296880725">
              <w:marLeft w:val="0"/>
              <w:marRight w:val="0"/>
              <w:marTop w:val="0"/>
              <w:marBottom w:val="0"/>
              <w:divBdr>
                <w:top w:val="none" w:sz="0" w:space="0" w:color="auto"/>
                <w:left w:val="none" w:sz="0" w:space="0" w:color="auto"/>
                <w:bottom w:val="none" w:sz="0" w:space="0" w:color="auto"/>
                <w:right w:val="none" w:sz="0" w:space="0" w:color="auto"/>
              </w:divBdr>
              <w:divsChild>
                <w:div w:id="852182813">
                  <w:marLeft w:val="0"/>
                  <w:marRight w:val="0"/>
                  <w:marTop w:val="0"/>
                  <w:marBottom w:val="0"/>
                  <w:divBdr>
                    <w:top w:val="none" w:sz="0" w:space="0" w:color="auto"/>
                    <w:left w:val="none" w:sz="0" w:space="0" w:color="auto"/>
                    <w:bottom w:val="none" w:sz="0" w:space="0" w:color="auto"/>
                    <w:right w:val="none" w:sz="0" w:space="0" w:color="auto"/>
                  </w:divBdr>
                  <w:divsChild>
                    <w:div w:id="37554845">
                      <w:marLeft w:val="0"/>
                      <w:marRight w:val="0"/>
                      <w:marTop w:val="0"/>
                      <w:marBottom w:val="0"/>
                      <w:divBdr>
                        <w:top w:val="none" w:sz="0" w:space="0" w:color="auto"/>
                        <w:left w:val="none" w:sz="0" w:space="0" w:color="auto"/>
                        <w:bottom w:val="none" w:sz="0" w:space="0" w:color="auto"/>
                        <w:right w:val="none" w:sz="0" w:space="0" w:color="auto"/>
                      </w:divBdr>
                      <w:divsChild>
                        <w:div w:id="1472555953">
                          <w:marLeft w:val="0"/>
                          <w:marRight w:val="0"/>
                          <w:marTop w:val="0"/>
                          <w:marBottom w:val="0"/>
                          <w:divBdr>
                            <w:top w:val="none" w:sz="0" w:space="0" w:color="auto"/>
                            <w:left w:val="none" w:sz="0" w:space="0" w:color="auto"/>
                            <w:bottom w:val="none" w:sz="0" w:space="0" w:color="auto"/>
                            <w:right w:val="none" w:sz="0" w:space="0" w:color="auto"/>
                          </w:divBdr>
                          <w:divsChild>
                            <w:div w:id="553664986">
                              <w:marLeft w:val="0"/>
                              <w:marRight w:val="0"/>
                              <w:marTop w:val="0"/>
                              <w:marBottom w:val="0"/>
                              <w:divBdr>
                                <w:top w:val="none" w:sz="0" w:space="0" w:color="auto"/>
                                <w:left w:val="none" w:sz="0" w:space="0" w:color="auto"/>
                                <w:bottom w:val="none" w:sz="0" w:space="0" w:color="auto"/>
                                <w:right w:val="none" w:sz="0" w:space="0" w:color="auto"/>
                              </w:divBdr>
                              <w:divsChild>
                                <w:div w:id="45882044">
                                  <w:marLeft w:val="0"/>
                                  <w:marRight w:val="0"/>
                                  <w:marTop w:val="0"/>
                                  <w:marBottom w:val="0"/>
                                  <w:divBdr>
                                    <w:top w:val="none" w:sz="0" w:space="0" w:color="auto"/>
                                    <w:left w:val="none" w:sz="0" w:space="0" w:color="auto"/>
                                    <w:bottom w:val="none" w:sz="0" w:space="0" w:color="auto"/>
                                    <w:right w:val="none" w:sz="0" w:space="0" w:color="auto"/>
                                  </w:divBdr>
                                  <w:divsChild>
                                    <w:div w:id="875309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63199137">
                  <w:marLeft w:val="0"/>
                  <w:marRight w:val="0"/>
                  <w:marTop w:val="0"/>
                  <w:marBottom w:val="0"/>
                  <w:divBdr>
                    <w:top w:val="none" w:sz="0" w:space="0" w:color="auto"/>
                    <w:left w:val="none" w:sz="0" w:space="0" w:color="auto"/>
                    <w:bottom w:val="none" w:sz="0" w:space="0" w:color="auto"/>
                    <w:right w:val="none" w:sz="0" w:space="0" w:color="auto"/>
                  </w:divBdr>
                  <w:divsChild>
                    <w:div w:id="1971007040">
                      <w:marLeft w:val="0"/>
                      <w:marRight w:val="0"/>
                      <w:marTop w:val="0"/>
                      <w:marBottom w:val="0"/>
                      <w:divBdr>
                        <w:top w:val="none" w:sz="0" w:space="0" w:color="auto"/>
                        <w:left w:val="none" w:sz="0" w:space="0" w:color="auto"/>
                        <w:bottom w:val="none" w:sz="0" w:space="0" w:color="auto"/>
                        <w:right w:val="none" w:sz="0" w:space="0" w:color="auto"/>
                      </w:divBdr>
                      <w:divsChild>
                        <w:div w:id="466552885">
                          <w:marLeft w:val="0"/>
                          <w:marRight w:val="0"/>
                          <w:marTop w:val="0"/>
                          <w:marBottom w:val="0"/>
                          <w:divBdr>
                            <w:top w:val="none" w:sz="0" w:space="0" w:color="auto"/>
                            <w:left w:val="none" w:sz="0" w:space="0" w:color="auto"/>
                            <w:bottom w:val="none" w:sz="0" w:space="0" w:color="auto"/>
                            <w:right w:val="none" w:sz="0" w:space="0" w:color="auto"/>
                          </w:divBdr>
                          <w:divsChild>
                            <w:div w:id="132139888">
                              <w:marLeft w:val="0"/>
                              <w:marRight w:val="0"/>
                              <w:marTop w:val="0"/>
                              <w:marBottom w:val="0"/>
                              <w:divBdr>
                                <w:top w:val="none" w:sz="0" w:space="0" w:color="auto"/>
                                <w:left w:val="none" w:sz="0" w:space="0" w:color="auto"/>
                                <w:bottom w:val="none" w:sz="0" w:space="0" w:color="auto"/>
                                <w:right w:val="none" w:sz="0" w:space="0" w:color="auto"/>
                              </w:divBdr>
                              <w:divsChild>
                                <w:div w:id="9244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7240">
                  <w:marLeft w:val="0"/>
                  <w:marRight w:val="0"/>
                  <w:marTop w:val="0"/>
                  <w:marBottom w:val="0"/>
                  <w:divBdr>
                    <w:top w:val="none" w:sz="0" w:space="0" w:color="auto"/>
                    <w:left w:val="none" w:sz="0" w:space="0" w:color="auto"/>
                    <w:bottom w:val="none" w:sz="0" w:space="0" w:color="auto"/>
                    <w:right w:val="none" w:sz="0" w:space="0" w:color="auto"/>
                  </w:divBdr>
                  <w:divsChild>
                    <w:div w:id="966856585">
                      <w:marLeft w:val="0"/>
                      <w:marRight w:val="0"/>
                      <w:marTop w:val="0"/>
                      <w:marBottom w:val="0"/>
                      <w:divBdr>
                        <w:top w:val="none" w:sz="0" w:space="0" w:color="auto"/>
                        <w:left w:val="none" w:sz="0" w:space="0" w:color="auto"/>
                        <w:bottom w:val="none" w:sz="0" w:space="0" w:color="auto"/>
                        <w:right w:val="none" w:sz="0" w:space="0" w:color="auto"/>
                      </w:divBdr>
                      <w:divsChild>
                        <w:div w:id="2134204532">
                          <w:marLeft w:val="0"/>
                          <w:marRight w:val="0"/>
                          <w:marTop w:val="0"/>
                          <w:marBottom w:val="0"/>
                          <w:divBdr>
                            <w:top w:val="none" w:sz="0" w:space="0" w:color="auto"/>
                            <w:left w:val="none" w:sz="0" w:space="0" w:color="auto"/>
                            <w:bottom w:val="none" w:sz="0" w:space="0" w:color="auto"/>
                            <w:right w:val="none" w:sz="0" w:space="0" w:color="auto"/>
                          </w:divBdr>
                          <w:divsChild>
                            <w:div w:id="871773308">
                              <w:marLeft w:val="0"/>
                              <w:marRight w:val="0"/>
                              <w:marTop w:val="0"/>
                              <w:marBottom w:val="0"/>
                              <w:divBdr>
                                <w:top w:val="none" w:sz="0" w:space="0" w:color="auto"/>
                                <w:left w:val="none" w:sz="0" w:space="0" w:color="auto"/>
                                <w:bottom w:val="none" w:sz="0" w:space="0" w:color="auto"/>
                                <w:right w:val="none" w:sz="0" w:space="0" w:color="auto"/>
                              </w:divBdr>
                            </w:div>
                          </w:divsChild>
                        </w:div>
                        <w:div w:id="326443208">
                          <w:marLeft w:val="0"/>
                          <w:marRight w:val="0"/>
                          <w:marTop w:val="0"/>
                          <w:marBottom w:val="0"/>
                          <w:divBdr>
                            <w:top w:val="none" w:sz="0" w:space="0" w:color="auto"/>
                            <w:left w:val="none" w:sz="0" w:space="0" w:color="auto"/>
                            <w:bottom w:val="none" w:sz="0" w:space="0" w:color="auto"/>
                            <w:right w:val="none" w:sz="0" w:space="0" w:color="auto"/>
                          </w:divBdr>
                          <w:divsChild>
                            <w:div w:id="2072580077">
                              <w:marLeft w:val="0"/>
                              <w:marRight w:val="0"/>
                              <w:marTop w:val="0"/>
                              <w:marBottom w:val="0"/>
                              <w:divBdr>
                                <w:top w:val="none" w:sz="0" w:space="0" w:color="auto"/>
                                <w:left w:val="none" w:sz="0" w:space="0" w:color="auto"/>
                                <w:bottom w:val="none" w:sz="0" w:space="0" w:color="auto"/>
                                <w:right w:val="none" w:sz="0" w:space="0" w:color="auto"/>
                              </w:divBdr>
                              <w:divsChild>
                                <w:div w:id="19010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1072</Words>
  <Characters>6540</Characters>
  <Application>Microsoft Office Word</Application>
  <DocSecurity>0</DocSecurity>
  <Lines>54</Lines>
  <Paragraphs>15</Paragraphs>
  <ScaleCrop>false</ScaleCrop>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Clausen Eike</dc:creator>
  <cp:keywords/>
  <dc:description/>
  <cp:lastModifiedBy>Signe Clausen Eike</cp:lastModifiedBy>
  <cp:revision>2</cp:revision>
  <dcterms:created xsi:type="dcterms:W3CDTF">2025-01-12T22:26:00Z</dcterms:created>
  <dcterms:modified xsi:type="dcterms:W3CDTF">2025-01-12T22:31:00Z</dcterms:modified>
</cp:coreProperties>
</file>