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F1E" w14:textId="19ADED55" w:rsidR="00421091" w:rsidRPr="00421091" w:rsidRDefault="00421091" w:rsidP="00000A97">
      <w:pPr>
        <w:spacing w:line="276" w:lineRule="auto"/>
        <w:rPr>
          <w:b/>
          <w:bCs/>
          <w:color w:val="4472C4" w:themeColor="accent5"/>
          <w:sz w:val="28"/>
          <w:szCs w:val="28"/>
        </w:rPr>
      </w:pPr>
      <w:r w:rsidRPr="00421091">
        <w:rPr>
          <w:b/>
          <w:bCs/>
          <w:color w:val="4472C4" w:themeColor="accent5"/>
          <w:sz w:val="28"/>
          <w:szCs w:val="28"/>
        </w:rPr>
        <w:t>Monotoniforhold</w:t>
      </w:r>
    </w:p>
    <w:p w14:paraId="3FCFF707" w14:textId="1EDEF431" w:rsidR="003B7018" w:rsidRDefault="00FC5DFB" w:rsidP="00000A97">
      <w:pPr>
        <w:spacing w:line="276" w:lineRule="auto"/>
        <w:rPr>
          <w:b/>
        </w:rPr>
      </w:pPr>
      <w:r>
        <w:t xml:space="preserve">I dette arbejdsark skal vi se på at bestemme </w:t>
      </w:r>
      <w:r w:rsidRPr="00680FB8">
        <w:rPr>
          <w:b/>
        </w:rPr>
        <w:t>monotoniforhold</w:t>
      </w:r>
      <w:r>
        <w:t xml:space="preserve"> for en funktion. Dvs. finde ud af</w:t>
      </w:r>
      <w:r w:rsidR="00680FB8">
        <w:t>,</w:t>
      </w:r>
      <w:r>
        <w:t xml:space="preserve"> hvornår funktionen er </w:t>
      </w:r>
      <w:r w:rsidR="0050087C">
        <w:t xml:space="preserve">voksende, aftagende og har evt. ekstrema. </w:t>
      </w:r>
      <w:r>
        <w:t xml:space="preserve">Som supplement til </w:t>
      </w:r>
      <w:r w:rsidR="00531E81">
        <w:t xml:space="preserve">læselektie i webmatematik </w:t>
      </w:r>
      <w:r>
        <w:rPr>
          <w:b/>
        </w:rPr>
        <w:t>Monotoniforhol</w:t>
      </w:r>
      <w:r w:rsidR="00531E81">
        <w:rPr>
          <w:b/>
        </w:rPr>
        <w:t xml:space="preserve">d </w:t>
      </w:r>
      <w:r w:rsidR="003B7018" w:rsidRPr="003B7018">
        <w:rPr>
          <w:bCs/>
        </w:rPr>
        <w:t>du har læst</w:t>
      </w:r>
    </w:p>
    <w:p w14:paraId="698BB9D1" w14:textId="5AE8A7CE" w:rsidR="003B7018" w:rsidRDefault="00000000" w:rsidP="00000A97">
      <w:pPr>
        <w:spacing w:line="276" w:lineRule="auto"/>
        <w:rPr>
          <w:b/>
        </w:rPr>
      </w:pPr>
      <w:hyperlink r:id="rId7" w:history="1">
        <w:r w:rsidR="003B7018" w:rsidRPr="003B7018">
          <w:rPr>
            <w:rStyle w:val="Hyperlink"/>
            <w:bCs/>
          </w:rPr>
          <w:t>https://www.webmatematik.dk/lektioner/matematik-b/differentialregning/monotoniforhol</w:t>
        </w:r>
        <w:r w:rsidR="003B7018" w:rsidRPr="002746E3">
          <w:rPr>
            <w:rStyle w:val="Hyperlink"/>
            <w:b/>
          </w:rPr>
          <w:t>d</w:t>
        </w:r>
      </w:hyperlink>
    </w:p>
    <w:p w14:paraId="2B8A19FC" w14:textId="2844916D" w:rsidR="00FC5DFB" w:rsidRDefault="00FC5DFB" w:rsidP="00000A97">
      <w:pPr>
        <w:spacing w:line="276" w:lineRule="auto"/>
      </w:pPr>
      <w:r>
        <w:t>skal vi se et par små videoer:</w:t>
      </w:r>
    </w:p>
    <w:p w14:paraId="6C139490" w14:textId="77777777" w:rsidR="00000A97" w:rsidRDefault="00000A97" w:rsidP="00000A97">
      <w:pPr>
        <w:spacing w:line="276" w:lineRule="auto"/>
      </w:pPr>
    </w:p>
    <w:p w14:paraId="4637451C" w14:textId="77777777" w:rsidR="00FC5DFB" w:rsidRDefault="0089645E" w:rsidP="00000A97">
      <w:pPr>
        <w:spacing w:line="276" w:lineRule="auto"/>
      </w:pPr>
      <w:r>
        <w:rPr>
          <w:color w:val="4472C4" w:themeColor="accent5"/>
        </w:rPr>
        <w:t xml:space="preserve">Se filmen: </w:t>
      </w:r>
      <w:r w:rsidR="004B1D2B">
        <w:t>Monotoniforhold- Dennis Pippenbring L.19-Monotoniforhold uden Cas.</w:t>
      </w:r>
      <w:r>
        <w:t>5:00</w:t>
      </w:r>
    </w:p>
    <w:p w14:paraId="5163131F" w14:textId="77777777" w:rsidR="00FC5DFB" w:rsidRDefault="00000000" w:rsidP="00000A97">
      <w:pPr>
        <w:spacing w:line="276" w:lineRule="auto"/>
      </w:pPr>
      <w:hyperlink r:id="rId8" w:history="1">
        <w:r w:rsidR="004B1D2B" w:rsidRPr="00200D7D">
          <w:rPr>
            <w:rStyle w:val="Hyperlink"/>
          </w:rPr>
          <w:t>https://www.youtube.com/watch?v=nUelACb1E8s&amp;feature=youtu.be</w:t>
        </w:r>
      </w:hyperlink>
    </w:p>
    <w:p w14:paraId="60E15ED5" w14:textId="77777777" w:rsidR="0089645E" w:rsidRDefault="0089645E" w:rsidP="00000A97">
      <w:pPr>
        <w:spacing w:line="276" w:lineRule="auto"/>
      </w:pPr>
    </w:p>
    <w:p w14:paraId="40FFF1A9" w14:textId="77777777" w:rsidR="0089645E" w:rsidRPr="00000A97" w:rsidRDefault="0089645E" w:rsidP="00000A97">
      <w:pPr>
        <w:spacing w:line="276" w:lineRule="auto"/>
        <w:rPr>
          <w:rFonts w:eastAsiaTheme="minorEastAsia"/>
          <w:b/>
          <w:color w:val="4472C4" w:themeColor="accent5"/>
        </w:rPr>
      </w:pPr>
      <w:r w:rsidRPr="00000A97">
        <w:rPr>
          <w:b/>
          <w:color w:val="4472C4" w:themeColor="accent5"/>
        </w:rPr>
        <w:t xml:space="preserve">Resume: </w:t>
      </w:r>
    </w:p>
    <w:p w14:paraId="35E6C9E5" w14:textId="77777777" w:rsidR="0089645E" w:rsidRDefault="0089645E" w:rsidP="00000A97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Når man skal finde </w:t>
      </w:r>
      <w:r>
        <w:rPr>
          <w:rFonts w:eastAsiaTheme="minorEastAsia"/>
          <w:i/>
        </w:rPr>
        <w:t xml:space="preserve">monotoniforholdene </w:t>
      </w:r>
      <w:r>
        <w:rPr>
          <w:rFonts w:eastAsiaTheme="minorEastAsia"/>
        </w:rPr>
        <w:t>kan vi nu opsætte en opskrift til dette:</w:t>
      </w:r>
    </w:p>
    <w:p w14:paraId="71DC2670" w14:textId="77777777" w:rsidR="00680FB8" w:rsidRDefault="00680FB8" w:rsidP="00000A97">
      <w:pPr>
        <w:spacing w:line="276" w:lineRule="auto"/>
        <w:rPr>
          <w:rFonts w:eastAsiaTheme="minorEastAsia"/>
          <w:b/>
        </w:rPr>
      </w:pPr>
    </w:p>
    <w:p w14:paraId="25BB8522" w14:textId="77777777" w:rsidR="0089645E" w:rsidRDefault="0089645E" w:rsidP="00000A97">
      <w:pPr>
        <w:spacing w:line="276" w:lineRule="auto"/>
        <w:rPr>
          <w:rFonts w:eastAsiaTheme="minorEastAsia"/>
        </w:rPr>
      </w:pPr>
      <w:r>
        <w:rPr>
          <w:rFonts w:eastAsiaTheme="minorEastAsia"/>
          <w:b/>
        </w:rPr>
        <w:t>Opskrift:</w:t>
      </w:r>
      <w:r>
        <w:rPr>
          <w:rFonts w:eastAsiaTheme="minorEastAsia"/>
        </w:rPr>
        <w:t xml:space="preserve"> </w:t>
      </w:r>
    </w:p>
    <w:p w14:paraId="25EF394D" w14:textId="77777777" w:rsidR="0089645E" w:rsidRDefault="0089645E" w:rsidP="00000A97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Du kender forskriften for 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, der skal undersøges:</w:t>
      </w:r>
    </w:p>
    <w:p w14:paraId="6576118B" w14:textId="77777777" w:rsidR="0089645E" w:rsidRPr="0089645E" w:rsidRDefault="0089645E" w:rsidP="00000A97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Differentier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 xml:space="preserve">og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7D8BE1C7" w14:textId="77777777" w:rsidR="0089645E" w:rsidRDefault="0089645E" w:rsidP="00000A97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angiv nulpunkter</w:t>
      </w:r>
    </w:p>
    <w:p w14:paraId="7A6178CA" w14:textId="77777777" w:rsidR="0089645E" w:rsidRDefault="0089645E" w:rsidP="00000A97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Find værdier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før, imellem og efter de fundne nulpunkter og lav et skema af formen: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9645E" w14:paraId="5A8A7825" w14:textId="77777777" w:rsidTr="0089645E">
        <w:tc>
          <w:tcPr>
            <w:tcW w:w="1925" w:type="dxa"/>
          </w:tcPr>
          <w:p w14:paraId="0863D3FF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925" w:type="dxa"/>
          </w:tcPr>
          <w:p w14:paraId="78C8A5CA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448D3383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77FE0F9D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68A9F0DF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</w:tr>
      <w:tr w:rsidR="0089645E" w14:paraId="171C9855" w14:textId="77777777" w:rsidTr="0089645E">
        <w:tc>
          <w:tcPr>
            <w:tcW w:w="1925" w:type="dxa"/>
          </w:tcPr>
          <w:p w14:paraId="0D301B2E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925" w:type="dxa"/>
          </w:tcPr>
          <w:p w14:paraId="098F713B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5EF79CC7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5C466EE9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1519BAB6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</w:tr>
      <w:tr w:rsidR="0089645E" w14:paraId="00CAA439" w14:textId="77777777" w:rsidTr="0089645E">
        <w:tc>
          <w:tcPr>
            <w:tcW w:w="1925" w:type="dxa"/>
          </w:tcPr>
          <w:p w14:paraId="3F0CC1E8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25" w:type="dxa"/>
          </w:tcPr>
          <w:p w14:paraId="6777B0A1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75BFF809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609B7285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46853EE5" w14:textId="77777777" w:rsidR="0089645E" w:rsidRDefault="0089645E" w:rsidP="00000A97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790AC7B1" w14:textId="77777777" w:rsidR="0089645E" w:rsidRPr="0050087C" w:rsidRDefault="0050087C" w:rsidP="0050087C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Konklusion: Opskriv monotoniforholdene.</w:t>
      </w:r>
    </w:p>
    <w:p w14:paraId="2D9BB8DB" w14:textId="77777777" w:rsidR="00680FB8" w:rsidRDefault="00680FB8" w:rsidP="00000A97">
      <w:pPr>
        <w:spacing w:line="276" w:lineRule="auto"/>
        <w:rPr>
          <w:b/>
        </w:rPr>
      </w:pPr>
    </w:p>
    <w:p w14:paraId="4A0F699F" w14:textId="77777777" w:rsidR="0089645E" w:rsidRPr="0089645E" w:rsidRDefault="0089645E" w:rsidP="00000A97">
      <w:pPr>
        <w:spacing w:line="276" w:lineRule="auto"/>
        <w:rPr>
          <w:b/>
        </w:rPr>
      </w:pPr>
      <w:r>
        <w:rPr>
          <w:b/>
        </w:rPr>
        <w:t xml:space="preserve">Eksempel: </w:t>
      </w:r>
      <w:r>
        <w:t>Filmen gennemgår monotoniforhold for funktionen:</w:t>
      </w:r>
    </w:p>
    <w:p w14:paraId="4C53DE37" w14:textId="77777777" w:rsidR="0089645E" w:rsidRPr="0089645E" w:rsidRDefault="0089645E" w:rsidP="00000A97">
      <w:pPr>
        <w:spacing w:line="276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-12x+11</m:t>
          </m:r>
        </m:oMath>
      </m:oMathPara>
    </w:p>
    <w:p w14:paraId="4880BB92" w14:textId="77777777" w:rsidR="004B1D2B" w:rsidRDefault="0089645E" w:rsidP="00000A97">
      <w:pPr>
        <w:spacing w:line="276" w:lineRule="auto"/>
      </w:pPr>
      <w:r>
        <w:t>Vi kan opsummere svarene og bruge opskriften ovenfor:</w:t>
      </w:r>
    </w:p>
    <w:p w14:paraId="0DA8B6D8" w14:textId="77777777" w:rsidR="0089645E" w:rsidRPr="00680FB8" w:rsidRDefault="00000000" w:rsidP="00000A97">
      <w:pPr>
        <w:pStyle w:val="Listeafsnit"/>
        <w:numPr>
          <w:ilvl w:val="0"/>
          <w:numId w:val="2"/>
        </w:numPr>
        <w:spacing w:line="276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</m:t>
        </m:r>
      </m:oMath>
    </w:p>
    <w:p w14:paraId="1C7B380A" w14:textId="77777777" w:rsidR="00680FB8" w:rsidRPr="00680FB8" w:rsidRDefault="00000000" w:rsidP="00680FB8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</m:oMath>
      <w:r w:rsidR="00680FB8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-12=0=&gt;x=2 eller x=-2</m:t>
        </m:r>
      </m:oMath>
    </w:p>
    <w:p w14:paraId="3E219A9F" w14:textId="77777777" w:rsidR="00680FB8" w:rsidRDefault="00C74CE3" w:rsidP="00680FB8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Vi ber</w:t>
      </w:r>
      <w:r w:rsidR="00000A97">
        <w:rPr>
          <w:rFonts w:eastAsiaTheme="minorEastAsia"/>
        </w:rPr>
        <w:t>eg</w:t>
      </w:r>
      <w:r>
        <w:rPr>
          <w:rFonts w:eastAsiaTheme="minorEastAsia"/>
        </w:rPr>
        <w:t xml:space="preserve">ner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=15 (positiv)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=-12 (negativ)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=15 (positiv)</m:t>
        </m:r>
      </m:oMath>
    </w:p>
    <w:p w14:paraId="2A358813" w14:textId="77777777" w:rsidR="00680FB8" w:rsidRPr="00680FB8" w:rsidRDefault="00680FB8" w:rsidP="00680FB8">
      <w:pPr>
        <w:spacing w:line="276" w:lineRule="auto"/>
        <w:rPr>
          <w:rFonts w:eastAsiaTheme="minorEastAsia"/>
        </w:rPr>
      </w:pPr>
    </w:p>
    <w:p w14:paraId="62B21139" w14:textId="77777777" w:rsidR="00C74CE3" w:rsidRDefault="00C74CE3" w:rsidP="00000A97">
      <w:pPr>
        <w:spacing w:line="276" w:lineRule="auto"/>
      </w:pPr>
      <w:r>
        <w:t>Og fylder skemaet ud: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72"/>
        <w:gridCol w:w="1632"/>
        <w:gridCol w:w="1599"/>
        <w:gridCol w:w="1575"/>
        <w:gridCol w:w="1575"/>
        <w:gridCol w:w="1575"/>
      </w:tblGrid>
      <w:tr w:rsidR="00C74CE3" w14:paraId="790637C1" w14:textId="77777777" w:rsidTr="00C74CE3">
        <w:tc>
          <w:tcPr>
            <w:tcW w:w="1672" w:type="dxa"/>
          </w:tcPr>
          <w:p w14:paraId="644BAD1E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632" w:type="dxa"/>
          </w:tcPr>
          <w:p w14:paraId="463D49F0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</m:t>
                </m:r>
              </m:oMath>
            </m:oMathPara>
          </w:p>
        </w:tc>
        <w:tc>
          <w:tcPr>
            <w:tcW w:w="1599" w:type="dxa"/>
          </w:tcPr>
          <w:p w14:paraId="384A678F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</m:t>
                </m:r>
              </m:oMath>
            </m:oMathPara>
          </w:p>
        </w:tc>
        <w:tc>
          <w:tcPr>
            <w:tcW w:w="1575" w:type="dxa"/>
          </w:tcPr>
          <w:p w14:paraId="1973BDF5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575" w:type="dxa"/>
          </w:tcPr>
          <w:p w14:paraId="084B0DCA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575" w:type="dxa"/>
          </w:tcPr>
          <w:p w14:paraId="425CB12F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</w:tr>
      <w:tr w:rsidR="00C74CE3" w14:paraId="67D544EB" w14:textId="77777777" w:rsidTr="00C74CE3">
        <w:tc>
          <w:tcPr>
            <w:tcW w:w="1672" w:type="dxa"/>
          </w:tcPr>
          <w:p w14:paraId="7E95E597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632" w:type="dxa"/>
          </w:tcPr>
          <w:p w14:paraId="5795C312" w14:textId="77777777" w:rsidR="00C74CE3" w:rsidRP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15</m:t>
                </m:r>
              </m:oMath>
            </m:oMathPara>
          </w:p>
          <w:p w14:paraId="27697510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(positiv)</w:t>
            </w:r>
          </w:p>
        </w:tc>
        <w:tc>
          <w:tcPr>
            <w:tcW w:w="1599" w:type="dxa"/>
          </w:tcPr>
          <w:p w14:paraId="13BCB364" w14:textId="77777777" w:rsidR="00C74CE3" w:rsidRP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  <w:p w14:paraId="493ACF3B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575" w:type="dxa"/>
          </w:tcPr>
          <w:p w14:paraId="702CE458" w14:textId="77777777" w:rsidR="00C74CE3" w:rsidRP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-12</m:t>
                </m:r>
              </m:oMath>
            </m:oMathPara>
          </w:p>
          <w:p w14:paraId="054102FA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(negativ)</w:t>
            </w:r>
          </w:p>
        </w:tc>
        <w:tc>
          <w:tcPr>
            <w:tcW w:w="1575" w:type="dxa"/>
          </w:tcPr>
          <w:p w14:paraId="2A1BDFCD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575" w:type="dxa"/>
          </w:tcPr>
          <w:p w14:paraId="0A65910B" w14:textId="77777777" w:rsidR="00C74CE3" w:rsidRP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15</m:t>
                </m:r>
              </m:oMath>
            </m:oMathPara>
          </w:p>
          <w:p w14:paraId="757A171A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(positiv)</w:t>
            </w:r>
          </w:p>
        </w:tc>
      </w:tr>
      <w:tr w:rsidR="00C74CE3" w14:paraId="5A20E460" w14:textId="77777777" w:rsidTr="00C74CE3">
        <w:tc>
          <w:tcPr>
            <w:tcW w:w="1672" w:type="dxa"/>
          </w:tcPr>
          <w:p w14:paraId="7BC1CA9A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632" w:type="dxa"/>
          </w:tcPr>
          <w:p w14:paraId="548670FA" w14:textId="77777777" w:rsidR="00C74CE3" w:rsidRDefault="00C74CE3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voksende</w:t>
            </w:r>
          </w:p>
        </w:tc>
        <w:tc>
          <w:tcPr>
            <w:tcW w:w="1599" w:type="dxa"/>
          </w:tcPr>
          <w:p w14:paraId="44A90A8D" w14:textId="77777777" w:rsidR="00C74CE3" w:rsidRDefault="00A11A14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maximum</w:t>
            </w:r>
          </w:p>
        </w:tc>
        <w:tc>
          <w:tcPr>
            <w:tcW w:w="1575" w:type="dxa"/>
          </w:tcPr>
          <w:p w14:paraId="240693FF" w14:textId="77777777" w:rsidR="00C74CE3" w:rsidRDefault="00A11A14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aftagende</w:t>
            </w:r>
          </w:p>
        </w:tc>
        <w:tc>
          <w:tcPr>
            <w:tcW w:w="1575" w:type="dxa"/>
          </w:tcPr>
          <w:p w14:paraId="2B687022" w14:textId="77777777" w:rsidR="00C74CE3" w:rsidRDefault="00A11A14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minimum</w:t>
            </w:r>
          </w:p>
        </w:tc>
        <w:tc>
          <w:tcPr>
            <w:tcW w:w="1575" w:type="dxa"/>
          </w:tcPr>
          <w:p w14:paraId="60A2A1AA" w14:textId="77777777" w:rsidR="00C74CE3" w:rsidRDefault="00A11A14" w:rsidP="00000A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voksende</w:t>
            </w:r>
          </w:p>
        </w:tc>
      </w:tr>
    </w:tbl>
    <w:p w14:paraId="3AE62D1D" w14:textId="77777777" w:rsidR="00680FB8" w:rsidRDefault="00680FB8" w:rsidP="00000A97">
      <w:pPr>
        <w:spacing w:line="276" w:lineRule="auto"/>
      </w:pPr>
    </w:p>
    <w:p w14:paraId="2B5D7D24" w14:textId="77777777" w:rsidR="00000A97" w:rsidRPr="00000A97" w:rsidRDefault="0089645E" w:rsidP="00000A97">
      <w:pPr>
        <w:spacing w:line="276" w:lineRule="auto"/>
        <w:rPr>
          <w:rFonts w:eastAsiaTheme="minorEastAsia"/>
        </w:rPr>
      </w:pPr>
      <w:r>
        <w:t>Man kan indt</w:t>
      </w:r>
      <w:r w:rsidR="00000A97">
        <w:t>eg</w:t>
      </w:r>
      <w:r>
        <w:t>n</w:t>
      </w:r>
      <w:r w:rsidR="00000A97">
        <w:t xml:space="preserve">e med pile eller blot angive fx </w:t>
      </w:r>
      <m:oMath>
        <m:r>
          <w:rPr>
            <w:rFonts w:ascii="Cambria Math" w:hAnsi="Cambria Math"/>
          </w:rPr>
          <m:t>voksende</m:t>
        </m:r>
      </m:oMath>
      <w:r>
        <w:t xml:space="preserve"> </w:t>
      </w:r>
      <w:r w:rsidR="00000A97">
        <w:t xml:space="preserve">,når </w:t>
      </w:r>
      <m:oMath>
        <m:r>
          <w:rPr>
            <w:rFonts w:ascii="Cambria Math" w:hAnsi="Cambria Math"/>
          </w:rPr>
          <m:t>f'</m:t>
        </m:r>
      </m:oMath>
      <w:r w:rsidR="00000A97">
        <w:rPr>
          <w:rFonts w:eastAsiaTheme="minorEastAsia"/>
        </w:rPr>
        <w:t xml:space="preserve"> er positiv og </w:t>
      </w:r>
      <w:r w:rsidR="00000A97">
        <w:rPr>
          <w:rFonts w:eastAsiaTheme="minorEastAsia"/>
          <w:i/>
        </w:rPr>
        <w:t xml:space="preserve">aftagende </w:t>
      </w:r>
      <w:r w:rsidR="00000A97"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f'</m:t>
        </m:r>
      </m:oMath>
      <w:r w:rsidR="00000A97">
        <w:rPr>
          <w:rFonts w:eastAsiaTheme="minorEastAsia"/>
        </w:rPr>
        <w:t xml:space="preserve"> er negativ. Hvis funktionen går fra </w:t>
      </w:r>
      <w:r w:rsidR="00000A97">
        <w:rPr>
          <w:rFonts w:eastAsiaTheme="minorEastAsia"/>
          <w:i/>
        </w:rPr>
        <w:t>voksende</w:t>
      </w:r>
      <w:r w:rsidR="00000A97">
        <w:rPr>
          <w:i/>
        </w:rPr>
        <w:t xml:space="preserve"> </w:t>
      </w:r>
      <w:r w:rsidR="00000A97">
        <w:t xml:space="preserve">til </w:t>
      </w:r>
      <w:r w:rsidR="00000A97">
        <w:rPr>
          <w:i/>
        </w:rPr>
        <w:t xml:space="preserve">aftagende </w:t>
      </w:r>
      <w:r w:rsidR="00000A97">
        <w:t xml:space="preserve">vil den passerer et </w:t>
      </w:r>
      <w:r w:rsidR="00000A97" w:rsidRPr="00000A97">
        <w:rPr>
          <w:i/>
        </w:rPr>
        <w:t>maximum</w:t>
      </w:r>
      <w:r w:rsidR="00000A97">
        <w:rPr>
          <w:i/>
        </w:rPr>
        <w:t>.</w:t>
      </w:r>
      <w:r w:rsidR="00000A97">
        <w:t xml:space="preserve"> </w:t>
      </w:r>
    </w:p>
    <w:p w14:paraId="3C968C1F" w14:textId="77777777" w:rsidR="00000A97" w:rsidRDefault="00000A97" w:rsidP="00000A97">
      <w:pPr>
        <w:spacing w:line="276" w:lineRule="auto"/>
      </w:pPr>
      <w:r>
        <w:rPr>
          <w:rFonts w:eastAsiaTheme="minorEastAsia"/>
        </w:rPr>
        <w:t xml:space="preserve">Hvis funktionen går fra </w:t>
      </w:r>
      <w:r>
        <w:rPr>
          <w:rFonts w:eastAsiaTheme="minorEastAsia"/>
          <w:i/>
        </w:rPr>
        <w:t xml:space="preserve">aftagende </w:t>
      </w:r>
      <w:r>
        <w:t xml:space="preserve">til </w:t>
      </w:r>
      <w:r>
        <w:rPr>
          <w:i/>
        </w:rPr>
        <w:t xml:space="preserve">voksende </w:t>
      </w:r>
      <w:r>
        <w:t>vil den passerer et</w:t>
      </w:r>
      <w:r w:rsidRPr="00000A97">
        <w:rPr>
          <w:i/>
        </w:rPr>
        <w:t xml:space="preserve"> minimum</w:t>
      </w:r>
      <w:r>
        <w:rPr>
          <w:i/>
        </w:rPr>
        <w:t>.</w:t>
      </w:r>
      <w:r>
        <w:t xml:space="preserve"> Yderligere undersøgelser kan afklare om det er </w:t>
      </w:r>
      <w:r w:rsidRPr="00000A97">
        <w:rPr>
          <w:i/>
        </w:rPr>
        <w:t xml:space="preserve">lokalt </w:t>
      </w:r>
      <w:r>
        <w:t xml:space="preserve">eller </w:t>
      </w:r>
      <w:r w:rsidRPr="00000A97">
        <w:rPr>
          <w:i/>
        </w:rPr>
        <w:t>globalt.</w:t>
      </w:r>
      <w:r w:rsidR="0052430A">
        <w:rPr>
          <w:i/>
        </w:rPr>
        <w:t xml:space="preserve"> </w:t>
      </w:r>
      <w:r>
        <w:rPr>
          <w:rFonts w:eastAsiaTheme="minorEastAsia"/>
        </w:rPr>
        <w:t xml:space="preserve">Hvis funktionen går fra </w:t>
      </w:r>
      <w:r>
        <w:rPr>
          <w:rFonts w:eastAsiaTheme="minorEastAsia"/>
          <w:i/>
        </w:rPr>
        <w:t>voksende</w:t>
      </w:r>
      <w:r>
        <w:rPr>
          <w:i/>
        </w:rPr>
        <w:t xml:space="preserve"> </w:t>
      </w:r>
      <w:r>
        <w:t xml:space="preserve">til </w:t>
      </w:r>
      <w:r>
        <w:rPr>
          <w:i/>
        </w:rPr>
        <w:t xml:space="preserve">voksende </w:t>
      </w:r>
      <w:r>
        <w:t xml:space="preserve">vil den have en </w:t>
      </w:r>
      <w:r>
        <w:rPr>
          <w:i/>
        </w:rPr>
        <w:t>vendetangent.</w:t>
      </w:r>
      <w:r>
        <w:t xml:space="preserve"> (kaldes nogen gange et saddelpunkt).</w:t>
      </w:r>
    </w:p>
    <w:p w14:paraId="768A4405" w14:textId="77777777" w:rsidR="00680FB8" w:rsidRPr="00000A97" w:rsidRDefault="00680FB8" w:rsidP="00000A97">
      <w:pPr>
        <w:spacing w:line="276" w:lineRule="auto"/>
      </w:pPr>
    </w:p>
    <w:p w14:paraId="31606DF3" w14:textId="77777777" w:rsidR="004B1D2B" w:rsidRDefault="0050087C" w:rsidP="00680FB8">
      <w:pPr>
        <w:pStyle w:val="Listeafsnit"/>
        <w:numPr>
          <w:ilvl w:val="0"/>
          <w:numId w:val="2"/>
        </w:numPr>
        <w:spacing w:line="276" w:lineRule="auto"/>
      </w:pPr>
      <w:r w:rsidRPr="00680FB8">
        <w:rPr>
          <w:b/>
        </w:rPr>
        <w:lastRenderedPageBreak/>
        <w:t>Konklusionen</w:t>
      </w:r>
      <w:r>
        <w:t xml:space="preserve"> på undersøgelsen bliver at:</w:t>
      </w:r>
    </w:p>
    <w:p w14:paraId="5B66E01D" w14:textId="77777777" w:rsidR="0050087C" w:rsidRPr="0050087C" w:rsidRDefault="0050087C" w:rsidP="0050087C">
      <w:pPr>
        <w:spacing w:line="276" w:lineRule="auto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 w:rsidRPr="0050087C">
        <w:rPr>
          <w:rFonts w:eastAsiaTheme="minorEastAsia"/>
        </w:rPr>
        <w:t xml:space="preserve"> er voksende i intervallerne </w:t>
      </w:r>
      <m:oMath>
        <m:r>
          <w:rPr>
            <w:rFonts w:ascii="Cambria Math" w:eastAsiaTheme="minorEastAsia" w:hAnsi="Cambria Math"/>
          </w:rPr>
          <m:t>]-∝;-2]</m:t>
        </m:r>
      </m:oMath>
      <w:r w:rsidRPr="0050087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 xml:space="preserve">[2;∝[   </m:t>
        </m:r>
      </m:oMath>
      <w:r w:rsidRPr="0050087C">
        <w:rPr>
          <w:rFonts w:eastAsiaTheme="minorEastAsia"/>
        </w:rPr>
        <w:t xml:space="preserve">og aftagende i intervallet </w:t>
      </w:r>
      <m:oMath>
        <m:r>
          <w:rPr>
            <w:rFonts w:ascii="Cambria Math" w:eastAsiaTheme="minorEastAsia" w:hAnsi="Cambria Math"/>
          </w:rPr>
          <m:t>[-2;2]</m:t>
        </m:r>
      </m:oMath>
      <w:r w:rsidRPr="0050087C">
        <w:rPr>
          <w:rFonts w:eastAsiaTheme="minorEastAsia"/>
        </w:rPr>
        <w:t>.</w:t>
      </w:r>
    </w:p>
    <w:p w14:paraId="14B09466" w14:textId="77777777" w:rsidR="0052430A" w:rsidRDefault="0052430A" w:rsidP="00000A97">
      <w:pPr>
        <w:spacing w:line="276" w:lineRule="auto"/>
      </w:pPr>
      <w:r>
        <w:t>(se grafer fra Geogebra næste side)</w:t>
      </w:r>
    </w:p>
    <w:p w14:paraId="4EB182C6" w14:textId="77777777" w:rsidR="003B7018" w:rsidRDefault="003B7018" w:rsidP="00000A97">
      <w:pPr>
        <w:spacing w:line="276" w:lineRule="auto"/>
        <w:rPr>
          <w:b/>
        </w:rPr>
      </w:pPr>
    </w:p>
    <w:p w14:paraId="2F0F97CB" w14:textId="6A4AB292" w:rsidR="00B707D8" w:rsidRDefault="00DC5D48" w:rsidP="00000A97">
      <w:pPr>
        <w:spacing w:line="276" w:lineRule="auto"/>
      </w:pPr>
      <w:r w:rsidRPr="0052430A">
        <w:rPr>
          <w:b/>
        </w:rPr>
        <w:t>Opgave</w:t>
      </w:r>
      <w:r>
        <w:t xml:space="preserve">: Løs nr. 2-4 på arbejdsark: </w:t>
      </w:r>
      <w:r w:rsidRPr="0052430A">
        <w:rPr>
          <w:b/>
        </w:rPr>
        <w:t>diff_monotoni</w:t>
      </w:r>
      <w:r w:rsidR="0052430A" w:rsidRPr="0052430A">
        <w:rPr>
          <w:b/>
        </w:rPr>
        <w:t>_1_4</w:t>
      </w:r>
      <w:r>
        <w:t>.</w:t>
      </w:r>
      <w:r w:rsidR="00B707D8">
        <w:t xml:space="preserve"> Inden du går I gang skal du se en podcast, hvor opgave 1 er løst og du s</w:t>
      </w:r>
      <w:r w:rsidR="00E81CBB">
        <w:t>k</w:t>
      </w:r>
      <w:r w:rsidR="00B707D8">
        <w:t>al bruge samme metode. L</w:t>
      </w:r>
      <w:r w:rsidR="00C2056B">
        <w:t>øsningen ligger også som et billede sat ind i en Wordfil</w:t>
      </w:r>
      <w:r w:rsidR="00B707D8">
        <w:t xml:space="preserve"> på lektionen.</w:t>
      </w:r>
    </w:p>
    <w:p w14:paraId="043F0C35" w14:textId="214A5BFD" w:rsidR="00B707D8" w:rsidRDefault="00B707D8" w:rsidP="00000A97">
      <w:pPr>
        <w:spacing w:line="276" w:lineRule="auto"/>
      </w:pPr>
      <w:r>
        <w:t>Link til podcast i 2</w:t>
      </w:r>
      <w:r w:rsidR="00E81CBB">
        <w:t>a</w:t>
      </w:r>
      <w:r>
        <w:t>-holdmappe på Edulife:</w:t>
      </w:r>
      <w:r w:rsidR="00FF30CB">
        <w:t xml:space="preserve"> Navn: </w:t>
      </w:r>
      <w:r w:rsidR="00FF30CB" w:rsidRPr="00FF30CB">
        <w:rPr>
          <w:b/>
          <w:bCs/>
        </w:rPr>
        <w:t>Opgave 1_diff_monotoniforhold 2 matx.dk</w:t>
      </w:r>
    </w:p>
    <w:p w14:paraId="557C5828" w14:textId="27A5CD4A" w:rsidR="00FF30CB" w:rsidRDefault="00615934" w:rsidP="00000A97">
      <w:pPr>
        <w:spacing w:line="276" w:lineRule="auto"/>
      </w:pPr>
      <w:hyperlink r:id="rId9" w:history="1">
        <w:r w:rsidRPr="007E6C52">
          <w:rPr>
            <w:rStyle w:val="Hyperlink"/>
          </w:rPr>
          <w:t>https://drive.google.com/drive/folders/1t6SsM4HTapBwBFBn9-NkuFKYEVKrn9rD</w:t>
        </w:r>
      </w:hyperlink>
    </w:p>
    <w:p w14:paraId="34A28972" w14:textId="77777777" w:rsidR="00615934" w:rsidRDefault="00615934" w:rsidP="00000A97">
      <w:pPr>
        <w:spacing w:line="276" w:lineRule="auto"/>
      </w:pPr>
    </w:p>
    <w:p w14:paraId="47389E94" w14:textId="77777777" w:rsidR="00FF30CB" w:rsidRDefault="00FF30CB" w:rsidP="00000A97">
      <w:pPr>
        <w:spacing w:line="276" w:lineRule="auto"/>
      </w:pPr>
    </w:p>
    <w:p w14:paraId="7A7AA99D" w14:textId="77777777" w:rsidR="004B1D2B" w:rsidRDefault="00B707D8" w:rsidP="00000A97">
      <w:pPr>
        <w:spacing w:line="276" w:lineRule="auto"/>
      </w:pPr>
      <w:r>
        <w:t>Graferne fra eksemplet i starten,</w:t>
      </w:r>
      <w:r w:rsidR="0052430A">
        <w:t xml:space="preserve"> kan tegnes i Geogebra</w:t>
      </w:r>
      <w:r w:rsidR="00680FB8">
        <w:t>,</w:t>
      </w:r>
      <w:r w:rsidR="0052430A">
        <w:t xml:space="preserve"> hvis man har hjælpemidler og man kan se om det vil være </w:t>
      </w:r>
      <w:r w:rsidR="0052430A" w:rsidRPr="00680FB8">
        <w:rPr>
          <w:i/>
        </w:rPr>
        <w:t>lokale</w:t>
      </w:r>
      <w:r w:rsidR="0052430A">
        <w:t xml:space="preserve"> eller </w:t>
      </w:r>
      <w:r w:rsidR="0052430A" w:rsidRPr="00680FB8">
        <w:rPr>
          <w:i/>
        </w:rPr>
        <w:t>globale ekstrema</w:t>
      </w:r>
      <w:r w:rsidR="0052430A">
        <w:t>. J</w:t>
      </w:r>
      <w:r w:rsidR="00680FB8">
        <w:t>v</w:t>
      </w:r>
      <w:r w:rsidR="0052430A">
        <w:t>f. film om den grafiske tolkning kan man se at monotoni-analysen passer med det grafiske billede.</w:t>
      </w:r>
    </w:p>
    <w:p w14:paraId="4EC9E951" w14:textId="77777777" w:rsidR="0052430A" w:rsidRDefault="0052430A" w:rsidP="00000A97">
      <w:pPr>
        <w:spacing w:line="276" w:lineRule="auto"/>
      </w:pPr>
    </w:p>
    <w:p w14:paraId="330896E0" w14:textId="07E8D7F0" w:rsidR="0052430A" w:rsidRDefault="0052430A" w:rsidP="00000A97">
      <w:pPr>
        <w:spacing w:line="276" w:lineRule="auto"/>
      </w:pPr>
      <w:r w:rsidRPr="0052430A">
        <w:rPr>
          <w:noProof/>
          <w:lang w:eastAsia="da-DK"/>
        </w:rPr>
        <w:drawing>
          <wp:inline distT="0" distB="0" distL="0" distR="0" wp14:anchorId="6B90F008" wp14:editId="325548E3">
            <wp:extent cx="4279900" cy="3559702"/>
            <wp:effectExtent l="0" t="0" r="635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7235" cy="35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0CFB5" w14:textId="3C1D0B1A" w:rsidR="00421091" w:rsidRDefault="00421091" w:rsidP="00000A97">
      <w:pPr>
        <w:spacing w:line="276" w:lineRule="auto"/>
      </w:pPr>
    </w:p>
    <w:p w14:paraId="413FAEB3" w14:textId="155AD26C" w:rsidR="00421091" w:rsidRDefault="00421091" w:rsidP="00000A97">
      <w:pPr>
        <w:spacing w:line="276" w:lineRule="auto"/>
      </w:pPr>
      <w:r>
        <w:t>Har du mere tid kan du:</w:t>
      </w:r>
    </w:p>
    <w:p w14:paraId="761CF68E" w14:textId="77777777" w:rsidR="00421091" w:rsidRDefault="00421091" w:rsidP="00421091">
      <w:pPr>
        <w:spacing w:line="276" w:lineRule="auto"/>
      </w:pPr>
      <w:r>
        <w:rPr>
          <w:color w:val="4472C4" w:themeColor="accent5"/>
        </w:rPr>
        <w:t xml:space="preserve">Se filmen: </w:t>
      </w:r>
      <w:r>
        <w:t>Grafisk undersøgelse af monotoniforhold: 1:41 Dennis Pippenbring:</w:t>
      </w:r>
    </w:p>
    <w:p w14:paraId="502BAEB4" w14:textId="77777777" w:rsidR="00421091" w:rsidRDefault="00000000" w:rsidP="00421091">
      <w:pPr>
        <w:spacing w:line="276" w:lineRule="auto"/>
        <w:rPr>
          <w:rStyle w:val="Hyperlink"/>
        </w:rPr>
      </w:pPr>
      <w:hyperlink r:id="rId11" w:history="1">
        <w:r w:rsidR="00421091" w:rsidRPr="00200D7D">
          <w:rPr>
            <w:rStyle w:val="Hyperlink"/>
          </w:rPr>
          <w:t>https://www.youtube.com/watch?v=ac0aGDgmHZY&amp;feature=youtu.be</w:t>
        </w:r>
      </w:hyperlink>
    </w:p>
    <w:p w14:paraId="36DA18D1" w14:textId="77777777" w:rsidR="00421091" w:rsidRDefault="00421091" w:rsidP="00421091">
      <w:pPr>
        <w:spacing w:line="276" w:lineRule="auto"/>
        <w:rPr>
          <w:rStyle w:val="Hyperlink"/>
        </w:rPr>
      </w:pPr>
    </w:p>
    <w:p w14:paraId="67F6D334" w14:textId="58472D75" w:rsidR="00421091" w:rsidRPr="00680FB8" w:rsidRDefault="00421091" w:rsidP="00421091">
      <w:pPr>
        <w:spacing w:line="276" w:lineRule="auto"/>
      </w:pPr>
      <w:r w:rsidRPr="00680FB8">
        <w:rPr>
          <w:rStyle w:val="Hyperlink"/>
          <w:color w:val="auto"/>
          <w:u w:val="none"/>
        </w:rPr>
        <w:t xml:space="preserve">Filmen undersøger grafisk monotonforhold, som supplerer den analytiske løsning, og forklarer fortegn for 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f'(x)</m:t>
        </m:r>
      </m:oMath>
      <w:r w:rsidRPr="00680FB8">
        <w:rPr>
          <w:rStyle w:val="Hyperlink"/>
          <w:rFonts w:eastAsiaTheme="minorEastAsia"/>
          <w:color w:val="auto"/>
          <w:u w:val="none"/>
        </w:rPr>
        <w:t xml:space="preserve"> og hvilken sammenhæng det har med </w:t>
      </w:r>
      <m:oMath>
        <m:r>
          <w:rPr>
            <w:rStyle w:val="Hyperlink"/>
            <w:rFonts w:ascii="Cambria Math" w:eastAsiaTheme="minorEastAsia" w:hAnsi="Cambria Math"/>
            <w:color w:val="auto"/>
            <w:u w:val="none"/>
          </w:rPr>
          <m:t>f</m:t>
        </m:r>
        <m:d>
          <m:dPr>
            <m:ctrlPr>
              <w:rPr>
                <w:rStyle w:val="Hyperlink"/>
                <w:rFonts w:ascii="Cambria Math" w:eastAsiaTheme="minorEastAsia" w:hAnsi="Cambria Math"/>
                <w:i/>
                <w:color w:val="auto"/>
                <w:u w:val="none"/>
              </w:rPr>
            </m:ctrlPr>
          </m:dPr>
          <m:e>
            <m:r>
              <w:rPr>
                <w:rStyle w:val="Hyperlink"/>
                <w:rFonts w:ascii="Cambria Math" w:eastAsiaTheme="minorEastAsia" w:hAnsi="Cambria Math"/>
                <w:color w:val="auto"/>
                <w:u w:val="none"/>
              </w:rPr>
              <m:t>x</m:t>
            </m:r>
          </m:e>
        </m:d>
        <m:r>
          <w:rPr>
            <w:rStyle w:val="Hyperlink"/>
            <w:rFonts w:ascii="Cambria Math" w:eastAsiaTheme="minorEastAsia" w:hAnsi="Cambria Math"/>
            <w:color w:val="auto"/>
            <w:u w:val="none"/>
          </w:rPr>
          <m:t>.</m:t>
        </m:r>
      </m:oMath>
    </w:p>
    <w:p w14:paraId="03116476" w14:textId="77777777" w:rsidR="00421091" w:rsidRDefault="00421091" w:rsidP="00421091">
      <w:pPr>
        <w:spacing w:line="276" w:lineRule="auto"/>
      </w:pPr>
    </w:p>
    <w:p w14:paraId="4648E8EF" w14:textId="77777777" w:rsidR="00421091" w:rsidRPr="00FC5DFB" w:rsidRDefault="00421091" w:rsidP="00000A97">
      <w:pPr>
        <w:spacing w:line="276" w:lineRule="auto"/>
      </w:pPr>
    </w:p>
    <w:sectPr w:rsidR="00421091" w:rsidRPr="00FC5DFB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8BE7" w14:textId="77777777" w:rsidR="00415615" w:rsidRDefault="00415615" w:rsidP="00FC5DFB">
      <w:r>
        <w:separator/>
      </w:r>
    </w:p>
  </w:endnote>
  <w:endnote w:type="continuationSeparator" w:id="0">
    <w:p w14:paraId="7D18FB91" w14:textId="77777777" w:rsidR="00415615" w:rsidRDefault="00415615" w:rsidP="00F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FD62" w14:textId="77777777" w:rsidR="00415615" w:rsidRDefault="00415615" w:rsidP="00FC5DFB">
      <w:r>
        <w:separator/>
      </w:r>
    </w:p>
  </w:footnote>
  <w:footnote w:type="continuationSeparator" w:id="0">
    <w:p w14:paraId="21804BD5" w14:textId="77777777" w:rsidR="00415615" w:rsidRDefault="00415615" w:rsidP="00FC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5F7D" w14:textId="77777777" w:rsidR="00FC5DFB" w:rsidRDefault="00FC5DF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C438D3" wp14:editId="75C49E4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407D636" w14:textId="2DACDAB3" w:rsidR="00FC5DFB" w:rsidRDefault="00FC5DFB">
                              <w:r>
                                <w:t xml:space="preserve">Arbejdsark </w:t>
                              </w:r>
                              <w:r w:rsidR="00E81CBB">
                                <w:t>6</w:t>
                              </w:r>
                              <w:r>
                                <w:t>- differentialregning - Monotoniforhold</w:t>
                              </w:r>
                              <w:r w:rsidR="00531E81">
                                <w:t>/2a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438D3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407D636" w14:textId="2DACDAB3" w:rsidR="00FC5DFB" w:rsidRDefault="00FC5DFB">
                        <w:r>
                          <w:t xml:space="preserve">Arbejdsark </w:t>
                        </w:r>
                        <w:r w:rsidR="00E81CBB">
                          <w:t>6</w:t>
                        </w:r>
                        <w:r>
                          <w:t>- differentialregning - Monotoniforhold</w:t>
                        </w:r>
                        <w:r w:rsidR="00531E81">
                          <w:t>/2a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95A19" wp14:editId="0302231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AE7D55" w14:textId="77777777" w:rsidR="00FC5DFB" w:rsidRDefault="00FC5DF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2056B" w:rsidRPr="00C2056B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95A19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5AE7D55" w14:textId="77777777" w:rsidR="00FC5DFB" w:rsidRDefault="00FC5DF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2056B" w:rsidRPr="00C2056B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58F"/>
    <w:multiLevelType w:val="hybridMultilevel"/>
    <w:tmpl w:val="EFCE67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1262"/>
    <w:multiLevelType w:val="hybridMultilevel"/>
    <w:tmpl w:val="D2D02FD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6706">
    <w:abstractNumId w:val="0"/>
  </w:num>
  <w:num w:numId="2" w16cid:durableId="82254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FB"/>
    <w:rsid w:val="00000A97"/>
    <w:rsid w:val="000436A7"/>
    <w:rsid w:val="000458BA"/>
    <w:rsid w:val="00093469"/>
    <w:rsid w:val="000A15BE"/>
    <w:rsid w:val="000A6E19"/>
    <w:rsid w:val="000A76D9"/>
    <w:rsid w:val="000C0856"/>
    <w:rsid w:val="000E36D0"/>
    <w:rsid w:val="001020E0"/>
    <w:rsid w:val="00102E6F"/>
    <w:rsid w:val="00123056"/>
    <w:rsid w:val="00141D44"/>
    <w:rsid w:val="00152264"/>
    <w:rsid w:val="00155289"/>
    <w:rsid w:val="001C1DA6"/>
    <w:rsid w:val="001D7D77"/>
    <w:rsid w:val="00267A7F"/>
    <w:rsid w:val="00275566"/>
    <w:rsid w:val="00277B4D"/>
    <w:rsid w:val="002831B2"/>
    <w:rsid w:val="00286A62"/>
    <w:rsid w:val="002A0C1D"/>
    <w:rsid w:val="002C5EF3"/>
    <w:rsid w:val="002C7359"/>
    <w:rsid w:val="002F46F0"/>
    <w:rsid w:val="003070A4"/>
    <w:rsid w:val="00314EA0"/>
    <w:rsid w:val="00334854"/>
    <w:rsid w:val="003567D0"/>
    <w:rsid w:val="00357AFC"/>
    <w:rsid w:val="00375438"/>
    <w:rsid w:val="00386297"/>
    <w:rsid w:val="00392B3E"/>
    <w:rsid w:val="003B7018"/>
    <w:rsid w:val="003C0106"/>
    <w:rsid w:val="003D1A84"/>
    <w:rsid w:val="00403A2F"/>
    <w:rsid w:val="004101E5"/>
    <w:rsid w:val="00415615"/>
    <w:rsid w:val="00421091"/>
    <w:rsid w:val="00466034"/>
    <w:rsid w:val="004764D9"/>
    <w:rsid w:val="004B1D2B"/>
    <w:rsid w:val="004B685C"/>
    <w:rsid w:val="004D5357"/>
    <w:rsid w:val="004F1049"/>
    <w:rsid w:val="004F1C95"/>
    <w:rsid w:val="0050087C"/>
    <w:rsid w:val="00506C13"/>
    <w:rsid w:val="0052430A"/>
    <w:rsid w:val="00531E81"/>
    <w:rsid w:val="005E5518"/>
    <w:rsid w:val="006062C5"/>
    <w:rsid w:val="00615934"/>
    <w:rsid w:val="00623F4E"/>
    <w:rsid w:val="006708AF"/>
    <w:rsid w:val="00671809"/>
    <w:rsid w:val="00680FB8"/>
    <w:rsid w:val="00682E20"/>
    <w:rsid w:val="00683E95"/>
    <w:rsid w:val="006B2A7A"/>
    <w:rsid w:val="00716347"/>
    <w:rsid w:val="00776B6A"/>
    <w:rsid w:val="00804E46"/>
    <w:rsid w:val="00821B7D"/>
    <w:rsid w:val="00826919"/>
    <w:rsid w:val="00827868"/>
    <w:rsid w:val="00827D77"/>
    <w:rsid w:val="008474EC"/>
    <w:rsid w:val="00886E80"/>
    <w:rsid w:val="0089645E"/>
    <w:rsid w:val="008A1EE6"/>
    <w:rsid w:val="008A5FF0"/>
    <w:rsid w:val="008B4E25"/>
    <w:rsid w:val="008E0522"/>
    <w:rsid w:val="008E1AF6"/>
    <w:rsid w:val="00902BF4"/>
    <w:rsid w:val="00914457"/>
    <w:rsid w:val="00937504"/>
    <w:rsid w:val="00952B6B"/>
    <w:rsid w:val="009A6084"/>
    <w:rsid w:val="009D297C"/>
    <w:rsid w:val="00A04371"/>
    <w:rsid w:val="00A05BC6"/>
    <w:rsid w:val="00A11A14"/>
    <w:rsid w:val="00A54052"/>
    <w:rsid w:val="00A54D04"/>
    <w:rsid w:val="00A72A2B"/>
    <w:rsid w:val="00A95606"/>
    <w:rsid w:val="00AB30F4"/>
    <w:rsid w:val="00AE01FB"/>
    <w:rsid w:val="00AE4E69"/>
    <w:rsid w:val="00B038EF"/>
    <w:rsid w:val="00B25703"/>
    <w:rsid w:val="00B3497E"/>
    <w:rsid w:val="00B5377E"/>
    <w:rsid w:val="00B707D8"/>
    <w:rsid w:val="00B7286D"/>
    <w:rsid w:val="00B73176"/>
    <w:rsid w:val="00B90796"/>
    <w:rsid w:val="00B934D3"/>
    <w:rsid w:val="00BA7D2B"/>
    <w:rsid w:val="00C073BB"/>
    <w:rsid w:val="00C078E2"/>
    <w:rsid w:val="00C2056B"/>
    <w:rsid w:val="00C70900"/>
    <w:rsid w:val="00C74CE3"/>
    <w:rsid w:val="00C75ED6"/>
    <w:rsid w:val="00CF29BF"/>
    <w:rsid w:val="00D414D5"/>
    <w:rsid w:val="00D43959"/>
    <w:rsid w:val="00D91E88"/>
    <w:rsid w:val="00DA436C"/>
    <w:rsid w:val="00DC5D48"/>
    <w:rsid w:val="00E34D99"/>
    <w:rsid w:val="00E50E50"/>
    <w:rsid w:val="00E61F8E"/>
    <w:rsid w:val="00E81CBB"/>
    <w:rsid w:val="00EA7D77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C5DFB"/>
    <w:rsid w:val="00FF30CB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D58F6"/>
  <w15:chartTrackingRefBased/>
  <w15:docId w15:val="{3C225A57-BC74-427C-8BA2-23E3483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C5D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C5DFB"/>
  </w:style>
  <w:style w:type="paragraph" w:styleId="Sidefod">
    <w:name w:val="footer"/>
    <w:basedOn w:val="Normal"/>
    <w:link w:val="SidefodTegn"/>
    <w:uiPriority w:val="99"/>
    <w:unhideWhenUsed/>
    <w:rsid w:val="00FC5D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C5DFB"/>
  </w:style>
  <w:style w:type="character" w:styleId="Hyperlink">
    <w:name w:val="Hyperlink"/>
    <w:basedOn w:val="Standardskrifttypeiafsnit"/>
    <w:uiPriority w:val="99"/>
    <w:unhideWhenUsed/>
    <w:rsid w:val="004B1D2B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B1D2B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9645E"/>
    <w:rPr>
      <w:color w:val="808080"/>
    </w:rPr>
  </w:style>
  <w:style w:type="paragraph" w:styleId="Listeafsnit">
    <w:name w:val="List Paragraph"/>
    <w:basedOn w:val="Normal"/>
    <w:uiPriority w:val="34"/>
    <w:qFormat/>
    <w:rsid w:val="0089645E"/>
    <w:pPr>
      <w:ind w:left="720"/>
      <w:contextualSpacing/>
    </w:pPr>
  </w:style>
  <w:style w:type="table" w:styleId="Tabel-Gitter">
    <w:name w:val="Table Grid"/>
    <w:basedOn w:val="Tabel-Normal"/>
    <w:uiPriority w:val="39"/>
    <w:rsid w:val="00896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FF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elACb1E8s&amp;feature=youtu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matematik.dk/lektioner/matematik-b/differentialregning/monotoniforhol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c0aGDgmHZY&amp;feature=youtu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t6SsM4HTapBwBFBn9-NkuFKYEVKrn9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5- differentialregning - Monotoniforhold/2a</vt:lpstr>
    </vt:vector>
  </TitlesOfParts>
  <Company>IT-Center Fyn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6- differentialregning - Monotoniforhold/2a</dc:title>
  <dc:subject/>
  <dc:creator>Hanne Busk</dc:creator>
  <cp:keywords/>
  <dc:description/>
  <cp:lastModifiedBy>Hanne Busk</cp:lastModifiedBy>
  <cp:revision>3</cp:revision>
  <cp:lastPrinted>2025-03-09T20:02:00Z</cp:lastPrinted>
  <dcterms:created xsi:type="dcterms:W3CDTF">2025-03-09T20:13:00Z</dcterms:created>
  <dcterms:modified xsi:type="dcterms:W3CDTF">2025-03-09T20:15:00Z</dcterms:modified>
</cp:coreProperties>
</file>