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39DE" w14:textId="77777777" w:rsidR="006261A4" w:rsidRPr="00A71773" w:rsidRDefault="006261A4" w:rsidP="00A71773">
      <w:pPr>
        <w:pStyle w:val="Titel"/>
        <w:jc w:val="center"/>
        <w:rPr>
          <w:rFonts w:eastAsia="Times New Roman"/>
          <w:sz w:val="44"/>
          <w:szCs w:val="44"/>
          <w:lang w:eastAsia="da-DK"/>
        </w:rPr>
      </w:pPr>
      <w:r w:rsidRPr="00A71773">
        <w:rPr>
          <w:rFonts w:eastAsia="Times New Roman"/>
          <w:sz w:val="44"/>
          <w:szCs w:val="44"/>
          <w:lang w:eastAsia="da-DK"/>
        </w:rPr>
        <w:t>Prøveeksamensspørgsmål</w:t>
      </w:r>
    </w:p>
    <w:p w14:paraId="35926A86" w14:textId="77777777" w:rsidR="00A71773" w:rsidRDefault="00A71773" w:rsidP="006261A4">
      <w:pPr>
        <w:rPr>
          <w:rFonts w:ascii="Times New Roman" w:eastAsia="Times New Roman" w:hAnsi="Times New Roman"/>
          <w:bCs/>
          <w:kern w:val="36"/>
          <w:sz w:val="30"/>
          <w:szCs w:val="30"/>
          <w:u w:val="single"/>
          <w:lang w:eastAsia="da-DK"/>
        </w:rPr>
      </w:pPr>
    </w:p>
    <w:p w14:paraId="25D17672" w14:textId="7A8403CB" w:rsidR="006261A4" w:rsidRPr="006261A4" w:rsidRDefault="006261A4" w:rsidP="006261A4">
      <w:pPr>
        <w:rPr>
          <w:rFonts w:ascii="Times New Roman" w:eastAsia="Times New Roman" w:hAnsi="Times New Roman"/>
          <w:bCs/>
          <w:kern w:val="36"/>
          <w:sz w:val="30"/>
          <w:szCs w:val="30"/>
          <w:u w:val="single"/>
          <w:lang w:eastAsia="da-DK"/>
        </w:rPr>
      </w:pPr>
      <w:r w:rsidRPr="006261A4">
        <w:rPr>
          <w:rFonts w:ascii="Times New Roman" w:eastAsia="Times New Roman" w:hAnsi="Times New Roman"/>
          <w:bCs/>
          <w:kern w:val="36"/>
          <w:sz w:val="30"/>
          <w:szCs w:val="30"/>
          <w:u w:val="single"/>
          <w:lang w:eastAsia="da-DK"/>
        </w:rPr>
        <w:t xml:space="preserve">Tema: </w:t>
      </w:r>
      <w:r w:rsidRPr="00C120C5">
        <w:rPr>
          <w:rFonts w:ascii="Times New Roman" w:eastAsia="Times New Roman" w:hAnsi="Times New Roman"/>
          <w:bCs/>
          <w:kern w:val="36"/>
          <w:sz w:val="30"/>
          <w:szCs w:val="30"/>
          <w:lang w:eastAsia="da-DK"/>
        </w:rPr>
        <w:t>Barndommens betydning</w:t>
      </w:r>
    </w:p>
    <w:p w14:paraId="6FB9C7DB" w14:textId="493E6633" w:rsidR="006261A4" w:rsidRPr="005027C2" w:rsidRDefault="006261A4" w:rsidP="005027C2">
      <w:pPr>
        <w:pStyle w:val="Listeafsnit"/>
        <w:numPr>
          <w:ilvl w:val="0"/>
          <w:numId w:val="3"/>
        </w:numPr>
        <w:spacing w:line="360" w:lineRule="auto"/>
        <w:rPr>
          <w:rFonts w:ascii="Times New Roman" w:hAnsi="Times New Roman"/>
          <w:sz w:val="24"/>
          <w:szCs w:val="24"/>
        </w:rPr>
      </w:pPr>
      <w:r w:rsidRPr="005027C2">
        <w:rPr>
          <w:rFonts w:ascii="Times New Roman" w:hAnsi="Times New Roman"/>
          <w:sz w:val="24"/>
          <w:szCs w:val="24"/>
        </w:rPr>
        <w:t xml:space="preserve">Udpeg psykologiske problemstillinger i </w:t>
      </w:r>
      <w:r w:rsidR="00A71773" w:rsidRPr="005027C2">
        <w:rPr>
          <w:rFonts w:ascii="Times New Roman" w:hAnsi="Times New Roman"/>
          <w:sz w:val="24"/>
          <w:szCs w:val="24"/>
        </w:rPr>
        <w:t>bilag 1</w:t>
      </w:r>
      <w:r w:rsidRPr="005027C2">
        <w:rPr>
          <w:rFonts w:ascii="Times New Roman" w:hAnsi="Times New Roman"/>
          <w:sz w:val="24"/>
          <w:szCs w:val="24"/>
        </w:rPr>
        <w:t>.</w:t>
      </w:r>
    </w:p>
    <w:p w14:paraId="45351199" w14:textId="23ADB385" w:rsidR="006261A4" w:rsidRPr="005027C2" w:rsidRDefault="006261A4" w:rsidP="005027C2">
      <w:pPr>
        <w:pStyle w:val="Listeafsnit"/>
        <w:numPr>
          <w:ilvl w:val="0"/>
          <w:numId w:val="3"/>
        </w:numPr>
        <w:spacing w:line="360" w:lineRule="auto"/>
        <w:rPr>
          <w:rFonts w:ascii="Times New Roman" w:hAnsi="Times New Roman"/>
          <w:sz w:val="24"/>
          <w:szCs w:val="24"/>
          <w:lang w:eastAsia="da-DK"/>
        </w:rPr>
      </w:pPr>
      <w:r w:rsidRPr="005027C2">
        <w:rPr>
          <w:rFonts w:ascii="Times New Roman" w:hAnsi="Times New Roman"/>
          <w:sz w:val="24"/>
          <w:szCs w:val="24"/>
        </w:rPr>
        <w:t>Inddrag selvvalgt psykologisk viden fra temaet [dvs. teorier og undersøgelser] til at forklare problemstillingerne [dvs. uddybe dem og vise, hvilke psykologiske mekanismer der er involveret].</w:t>
      </w:r>
    </w:p>
    <w:p w14:paraId="1FF0E9EF" w14:textId="77777777" w:rsidR="006261A4" w:rsidRPr="005027C2" w:rsidRDefault="006261A4" w:rsidP="005027C2">
      <w:pPr>
        <w:pStyle w:val="Listeafsnit"/>
        <w:numPr>
          <w:ilvl w:val="0"/>
          <w:numId w:val="3"/>
        </w:numPr>
        <w:spacing w:line="360" w:lineRule="auto"/>
        <w:rPr>
          <w:rFonts w:ascii="Times New Roman" w:hAnsi="Times New Roman"/>
          <w:sz w:val="24"/>
          <w:szCs w:val="24"/>
          <w:lang w:eastAsia="da-DK"/>
        </w:rPr>
      </w:pPr>
      <w:r w:rsidRPr="005027C2">
        <w:rPr>
          <w:rFonts w:ascii="Times New Roman" w:hAnsi="Times New Roman"/>
          <w:sz w:val="24"/>
          <w:szCs w:val="24"/>
        </w:rPr>
        <w:t>Giv en kritisk vurdering af undersøgelsen i bilag 2.</w:t>
      </w:r>
    </w:p>
    <w:p w14:paraId="79605F3F" w14:textId="77777777" w:rsidR="00A367F2" w:rsidRDefault="00A367F2" w:rsidP="00A367F2">
      <w:pPr>
        <w:pStyle w:val="paragraph"/>
        <w:spacing w:before="0" w:beforeAutospacing="0" w:after="0" w:afterAutospacing="0"/>
        <w:textAlignment w:val="baseline"/>
        <w:rPr>
          <w:rStyle w:val="normaltextrun"/>
          <w:rFonts w:ascii="Palatino Linotype" w:hAnsi="Palatino Linotype" w:cs="Segoe UI"/>
          <w:sz w:val="26"/>
          <w:szCs w:val="26"/>
        </w:rPr>
      </w:pPr>
    </w:p>
    <w:p w14:paraId="29C53217" w14:textId="43FCCE0D" w:rsidR="00A367F2" w:rsidRDefault="00A367F2" w:rsidP="00A367F2">
      <w:pPr>
        <w:pStyle w:val="paragraph"/>
        <w:spacing w:before="0" w:beforeAutospacing="0" w:after="0" w:afterAutospacing="0"/>
        <w:textAlignment w:val="baseline"/>
        <w:rPr>
          <w:rStyle w:val="normaltextrun"/>
          <w:rFonts w:ascii="Palatino Linotype" w:hAnsi="Palatino Linotype" w:cs="Segoe UI"/>
          <w:sz w:val="26"/>
          <w:szCs w:val="26"/>
        </w:rPr>
      </w:pPr>
      <w:r w:rsidRPr="00327776">
        <w:rPr>
          <w:rStyle w:val="normaltextrun"/>
          <w:rFonts w:ascii="Palatino Linotype" w:hAnsi="Palatino Linotype" w:cs="Segoe UI"/>
          <w:sz w:val="26"/>
          <w:szCs w:val="26"/>
          <w:u w:val="single"/>
        </w:rPr>
        <w:t>Bilag 1:</w:t>
      </w:r>
      <w:r>
        <w:rPr>
          <w:rStyle w:val="normaltextrun"/>
          <w:rFonts w:ascii="Palatino Linotype" w:hAnsi="Palatino Linotype" w:cs="Segoe UI"/>
          <w:sz w:val="26"/>
          <w:szCs w:val="26"/>
        </w:rPr>
        <w:t xml:space="preserve"> Uddrag af følgende kilder:</w:t>
      </w:r>
    </w:p>
    <w:p w14:paraId="3B92EB0D" w14:textId="77777777" w:rsidR="00A367F2" w:rsidRPr="006261A4" w:rsidRDefault="00A367F2" w:rsidP="00A367F2">
      <w:pPr>
        <w:pStyle w:val="NormalWeb"/>
        <w:numPr>
          <w:ilvl w:val="0"/>
          <w:numId w:val="2"/>
        </w:numPr>
        <w:spacing w:line="360" w:lineRule="auto"/>
      </w:pPr>
      <w:r w:rsidRPr="006261A4">
        <w:t xml:space="preserve">De fleste kan mere end de tror, Børn og unge 1996 </w:t>
      </w:r>
    </w:p>
    <w:p w14:paraId="0E503621" w14:textId="77777777" w:rsidR="00A367F2" w:rsidRPr="006261A4" w:rsidRDefault="00A367F2" w:rsidP="00A367F2">
      <w:pPr>
        <w:pStyle w:val="NormalWeb"/>
        <w:numPr>
          <w:ilvl w:val="0"/>
          <w:numId w:val="2"/>
        </w:numPr>
        <w:spacing w:line="360" w:lineRule="auto"/>
      </w:pPr>
      <w:r w:rsidRPr="006261A4">
        <w:t xml:space="preserve">Frygten som opdrift, Lene Halmø Terkelsen, Kristeligt-Dagblad.dk 21.3.09 </w:t>
      </w:r>
    </w:p>
    <w:p w14:paraId="363952C0" w14:textId="77777777" w:rsidR="00A367F2" w:rsidRPr="006261A4" w:rsidRDefault="00A367F2" w:rsidP="00A367F2">
      <w:pPr>
        <w:pStyle w:val="NormalWeb"/>
        <w:numPr>
          <w:ilvl w:val="0"/>
          <w:numId w:val="2"/>
        </w:numPr>
        <w:spacing w:line="360" w:lineRule="auto"/>
      </w:pPr>
      <w:r w:rsidRPr="006261A4">
        <w:t xml:space="preserve">Anne Inger </w:t>
      </w:r>
      <w:proofErr w:type="spellStart"/>
      <w:r w:rsidRPr="006261A4">
        <w:t>Helmen</w:t>
      </w:r>
      <w:proofErr w:type="spellEnd"/>
      <w:r w:rsidRPr="006261A4">
        <w:t xml:space="preserve"> Borge: </w:t>
      </w:r>
      <w:r w:rsidRPr="006261A4">
        <w:rPr>
          <w:rStyle w:val="glossary-term"/>
          <w:rFonts w:eastAsia="Calibri"/>
        </w:rPr>
        <w:t>Resiliens</w:t>
      </w:r>
      <w:r w:rsidRPr="006261A4">
        <w:t xml:space="preserve"> - Risiko og sund udvikling, Hans Reitzels forlag 2004. </w:t>
      </w:r>
    </w:p>
    <w:p w14:paraId="50286385" w14:textId="77777777" w:rsidR="00A367F2" w:rsidRPr="006261A4" w:rsidRDefault="00A367F2" w:rsidP="00A367F2">
      <w:pPr>
        <w:pStyle w:val="NormalWeb"/>
        <w:numPr>
          <w:ilvl w:val="0"/>
          <w:numId w:val="2"/>
        </w:numPr>
        <w:spacing w:line="360" w:lineRule="auto"/>
      </w:pPr>
      <w:r w:rsidRPr="006261A4">
        <w:t xml:space="preserve">Michael og Marjorie Rutter: Den livslange udvikling, Hans Reitzels forlag 2000. </w:t>
      </w:r>
    </w:p>
    <w:p w14:paraId="5695600E" w14:textId="087CD0B3" w:rsidR="00A367F2" w:rsidRPr="00A367F2" w:rsidRDefault="00A367F2" w:rsidP="00A367F2">
      <w:pPr>
        <w:pStyle w:val="NormalWeb"/>
        <w:numPr>
          <w:ilvl w:val="0"/>
          <w:numId w:val="2"/>
        </w:numPr>
        <w:spacing w:line="360" w:lineRule="auto"/>
        <w:rPr>
          <w:rStyle w:val="normaltextrun"/>
        </w:rPr>
      </w:pPr>
      <w:r w:rsidRPr="006261A4">
        <w:t>Ole Schultz Larsen, 2009</w:t>
      </w:r>
    </w:p>
    <w:p w14:paraId="091E64EE" w14:textId="7CAA3BCD" w:rsidR="00A367F2" w:rsidRDefault="00A367F2" w:rsidP="00A367F2">
      <w:pPr>
        <w:pStyle w:val="paragraph"/>
        <w:spacing w:before="0" w:beforeAutospacing="0" w:after="0" w:afterAutospacing="0"/>
        <w:textAlignment w:val="baseline"/>
        <w:rPr>
          <w:rFonts w:ascii="Segoe UI" w:hAnsi="Segoe UI" w:cs="Segoe UI"/>
          <w:sz w:val="18"/>
          <w:szCs w:val="18"/>
        </w:rPr>
      </w:pPr>
      <w:r w:rsidRPr="00DD130C">
        <w:rPr>
          <w:rStyle w:val="normaltextrun"/>
          <w:rFonts w:ascii="Palatino Linotype" w:hAnsi="Palatino Linotype" w:cs="Segoe UI"/>
          <w:sz w:val="26"/>
          <w:szCs w:val="26"/>
          <w:u w:val="single"/>
        </w:rPr>
        <w:t>Bilag 2:</w:t>
      </w:r>
      <w:r>
        <w:rPr>
          <w:rStyle w:val="normaltextrun"/>
          <w:rFonts w:ascii="Palatino Linotype" w:hAnsi="Palatino Linotype" w:cs="Segoe UI"/>
          <w:sz w:val="26"/>
          <w:szCs w:val="26"/>
        </w:rPr>
        <w:t xml:space="preserve"> Resumé af </w:t>
      </w:r>
      <w:proofErr w:type="spellStart"/>
      <w:r>
        <w:rPr>
          <w:rStyle w:val="normaltextrun"/>
          <w:rFonts w:ascii="Palatino Linotype" w:hAnsi="Palatino Linotype" w:cs="Segoe UI"/>
          <w:sz w:val="26"/>
          <w:szCs w:val="26"/>
        </w:rPr>
        <w:t>Kauai</w:t>
      </w:r>
      <w:proofErr w:type="spellEnd"/>
      <w:r>
        <w:rPr>
          <w:rStyle w:val="normaltextrun"/>
          <w:rFonts w:ascii="Palatino Linotype" w:hAnsi="Palatino Linotype" w:cs="Segoe UI"/>
          <w:sz w:val="26"/>
          <w:szCs w:val="26"/>
        </w:rPr>
        <w:t>-undersøgelsen.</w:t>
      </w:r>
      <w:r>
        <w:rPr>
          <w:rStyle w:val="eop"/>
          <w:rFonts w:ascii="Palatino Linotype" w:hAnsi="Palatino Linotype" w:cs="Segoe UI"/>
          <w:sz w:val="26"/>
          <w:szCs w:val="26"/>
        </w:rPr>
        <w:t> </w:t>
      </w:r>
    </w:p>
    <w:p w14:paraId="6E12AAD1" w14:textId="77777777" w:rsidR="00A367F2" w:rsidRDefault="00A367F2" w:rsidP="00A367F2">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sz w:val="26"/>
          <w:szCs w:val="26"/>
        </w:rPr>
        <w:t> </w:t>
      </w:r>
    </w:p>
    <w:p w14:paraId="1E5E7994" w14:textId="77777777" w:rsidR="004842E5" w:rsidRDefault="004842E5" w:rsidP="003A7327">
      <w:pPr>
        <w:rPr>
          <w:rFonts w:ascii="Times New Roman" w:hAnsi="Times New Roman"/>
          <w:sz w:val="30"/>
          <w:szCs w:val="30"/>
          <w:lang w:eastAsia="da-DK"/>
        </w:rPr>
      </w:pPr>
    </w:p>
    <w:p w14:paraId="589865E2" w14:textId="77777777" w:rsidR="00A367F2" w:rsidRDefault="00A367F2" w:rsidP="003A7327">
      <w:pPr>
        <w:rPr>
          <w:rFonts w:ascii="Times New Roman" w:hAnsi="Times New Roman"/>
          <w:sz w:val="30"/>
          <w:szCs w:val="30"/>
          <w:lang w:eastAsia="da-DK"/>
        </w:rPr>
      </w:pPr>
    </w:p>
    <w:p w14:paraId="5A96B42D" w14:textId="77777777" w:rsidR="00A367F2" w:rsidRDefault="00A367F2" w:rsidP="003A7327">
      <w:pPr>
        <w:rPr>
          <w:rFonts w:ascii="Times New Roman" w:hAnsi="Times New Roman"/>
          <w:sz w:val="30"/>
          <w:szCs w:val="30"/>
          <w:lang w:eastAsia="da-DK"/>
        </w:rPr>
      </w:pPr>
    </w:p>
    <w:p w14:paraId="08447743" w14:textId="77777777" w:rsidR="00A367F2" w:rsidRDefault="00A367F2" w:rsidP="003A7327">
      <w:pPr>
        <w:rPr>
          <w:rFonts w:ascii="Times New Roman" w:hAnsi="Times New Roman"/>
          <w:sz w:val="30"/>
          <w:szCs w:val="30"/>
          <w:lang w:eastAsia="da-DK"/>
        </w:rPr>
      </w:pPr>
    </w:p>
    <w:p w14:paraId="23B1EBC4" w14:textId="77777777" w:rsidR="00A367F2" w:rsidRDefault="00A367F2" w:rsidP="003A7327">
      <w:pPr>
        <w:rPr>
          <w:rFonts w:ascii="Times New Roman" w:hAnsi="Times New Roman"/>
          <w:sz w:val="30"/>
          <w:szCs w:val="30"/>
          <w:lang w:eastAsia="da-DK"/>
        </w:rPr>
      </w:pPr>
    </w:p>
    <w:p w14:paraId="1A436042" w14:textId="77777777" w:rsidR="00A367F2" w:rsidRDefault="00A367F2" w:rsidP="003A7327">
      <w:pPr>
        <w:rPr>
          <w:rFonts w:ascii="Times New Roman" w:hAnsi="Times New Roman"/>
          <w:sz w:val="30"/>
          <w:szCs w:val="30"/>
          <w:lang w:eastAsia="da-DK"/>
        </w:rPr>
      </w:pPr>
    </w:p>
    <w:p w14:paraId="4A94E65A" w14:textId="77777777" w:rsidR="00A367F2" w:rsidRPr="003A7327" w:rsidRDefault="00A367F2" w:rsidP="003A7327">
      <w:pPr>
        <w:rPr>
          <w:rFonts w:ascii="Times New Roman" w:hAnsi="Times New Roman"/>
          <w:sz w:val="30"/>
          <w:szCs w:val="30"/>
          <w:lang w:eastAsia="da-DK"/>
        </w:rPr>
      </w:pPr>
    </w:p>
    <w:p w14:paraId="09211B92" w14:textId="07F7B8B5" w:rsidR="0072022E" w:rsidRPr="00A71773" w:rsidRDefault="00A71773" w:rsidP="00A71773">
      <w:pPr>
        <w:pStyle w:val="Overskrift1"/>
        <w:rPr>
          <w:rFonts w:eastAsia="Calibri" w:cs="Times New Roman"/>
        </w:rPr>
      </w:pPr>
      <w:r>
        <w:lastRenderedPageBreak/>
        <w:t xml:space="preserve">Bilag 1: </w:t>
      </w:r>
      <w:r w:rsidR="0072022E" w:rsidRPr="006261A4">
        <w:rPr>
          <w:rFonts w:cs="Times New Roman"/>
        </w:rPr>
        <w:t>Case</w:t>
      </w:r>
      <w:r>
        <w:t xml:space="preserve"> om </w:t>
      </w:r>
      <w:r w:rsidR="0072022E" w:rsidRPr="006261A4">
        <w:rPr>
          <w:rFonts w:cs="Times New Roman"/>
        </w:rPr>
        <w:t>Lisbeth</w:t>
      </w:r>
    </w:p>
    <w:p w14:paraId="562B5B46" w14:textId="77777777" w:rsidR="0072022E" w:rsidRPr="006261A4" w:rsidRDefault="0072022E" w:rsidP="004842E5">
      <w:pPr>
        <w:pStyle w:val="NormalWeb"/>
        <w:spacing w:line="360" w:lineRule="auto"/>
      </w:pPr>
      <w:r w:rsidRPr="006261A4">
        <w:t xml:space="preserve">Lisbeth er uddannet </w:t>
      </w:r>
      <w:proofErr w:type="gramStart"/>
      <w:r w:rsidRPr="006261A4">
        <w:t>cand. polit.</w:t>
      </w:r>
      <w:proofErr w:type="gramEnd"/>
      <w:r w:rsidRPr="006261A4">
        <w:t xml:space="preserve"> og arbejder i dag som administrerende direktør i it-firmaet Specialisterne. Hendes barndom har været præget af </w:t>
      </w:r>
      <w:proofErr w:type="gramStart"/>
      <w:r w:rsidRPr="006261A4">
        <w:t>massiv omsorgssvigt</w:t>
      </w:r>
      <w:proofErr w:type="gramEnd"/>
      <w:r w:rsidRPr="006261A4">
        <w:t xml:space="preserve">. Hun vokser op som den yngste af fire børn med en voldelig stedfar og en alkoholiseret og psykisk fraværende mor, som næsten kun giver hende kærlighed, når hun er fuld. De tre drenge kommer hurtigt efter hinanden, mens der er tre år mellem hende og den yngste bror. Fra sin tidlige barndom husker hun, hvordan faderen tæver moderen til en fest. Forældrene bliver skilt, og børnene kommer på børnehjem, da Lisbeth er tre år. Brødrene er på det tidspunkt henholdsvis 6, 7 og 8 år. Kontakten til faderen dør ud. Efter en periode møder moderen en ny mand, og sammen med dem flytter børnene nu ned til et gammelt bondehus på Lolland. Det er brødrene, der passer på Lisbeth gennem hele barndommen. Den ældste bror sørger for de mindre. Når moderen ikke er hjemme, er det ham, der sørger for, at de får mad. Fordi Lisbeth er den mindste, slipper hun ofte for mange af de konflikter med forældrene, som brødrene har. Hun kan gemme sig bag dem. Forholdet mellem moderen og stedfaderen er også præget af vold. Lisbeth er bange for stedfaderen. Han har </w:t>
      </w:r>
      <w:r w:rsidRPr="006261A4">
        <w:rPr>
          <w:rStyle w:val="glossary-term"/>
          <w:rFonts w:eastAsia="Calibri"/>
        </w:rPr>
        <w:t>psykopatiske</w:t>
      </w:r>
      <w:r w:rsidRPr="006261A4">
        <w:t xml:space="preserve"> træk. Flere gange forsøger han at begå selvmord, og børnene er ofte vidner til hans voldelige overfald på moderen. </w:t>
      </w:r>
    </w:p>
    <w:p w14:paraId="58595EDA" w14:textId="12F28A59" w:rsidR="0072022E" w:rsidRPr="006261A4" w:rsidRDefault="0072022E" w:rsidP="004842E5">
      <w:pPr>
        <w:pStyle w:val="NormalWeb"/>
        <w:spacing w:line="360" w:lineRule="auto"/>
      </w:pPr>
      <w:r w:rsidRPr="006261A4">
        <w:t>Lisbeth går meget for sig selv på Lolland. Hun får ikke legekammerater, men tænker egentlig ikke over det. Det viser sig, hun har gode evner i skolen. Hun gør meget ved skolesagerne. Ved en test hos en skolepsykolog får hun ligefrem at vide, at hun kan springe en klasse over, selv om hun er den yngste i klassen. Hendes brødre giver ikke skolen en chance. De pjækker og kommer konstant i klammeri med de andre og ikke mindst med lærerne.</w:t>
      </w:r>
    </w:p>
    <w:p w14:paraId="7798A38A" w14:textId="0213E1F6" w:rsidR="0072022E" w:rsidRPr="006261A4" w:rsidRDefault="0072022E" w:rsidP="004842E5">
      <w:pPr>
        <w:pStyle w:val="NormalWeb"/>
        <w:spacing w:line="360" w:lineRule="auto"/>
      </w:pPr>
      <w:r w:rsidRPr="006261A4">
        <w:t>Efter et stykke tid går moderens forhold til stedfaderen helt i stykker, brødrene er igen kommet på børnehjem, og Lisbeth kommer nu til at bo alene med moderen. Hun går for det mest for lud og koldt vand, er ofte syg og har aldrig ordentlig</w:t>
      </w:r>
      <w:r w:rsidR="008044AA">
        <w:t>t</w:t>
      </w:r>
      <w:r w:rsidRPr="006261A4">
        <w:t xml:space="preserve"> tøj på. En lærer, der også er nabo, får i denne periode særlig betydning for hende. Lisbeth begynder at komme dagligt hos ham og hans kone. De hjælper hende, og da Lisbeth er 12 </w:t>
      </w:r>
      <w:proofErr w:type="gramStart"/>
      <w:r w:rsidRPr="006261A4">
        <w:t>år</w:t>
      </w:r>
      <w:proofErr w:type="gramEnd"/>
      <w:r w:rsidRPr="006261A4">
        <w:t xml:space="preserve"> støtter de hende i, at hun kommer bort fra moderen og på en social institution. Læreren og hans kone bliver herefter Lisbeths weekend-familie. </w:t>
      </w:r>
    </w:p>
    <w:p w14:paraId="35C6D6E0" w14:textId="77777777" w:rsidR="0072022E" w:rsidRPr="006261A4" w:rsidRDefault="0072022E" w:rsidP="004842E5">
      <w:pPr>
        <w:pStyle w:val="NormalWeb"/>
        <w:spacing w:line="360" w:lineRule="auto"/>
      </w:pPr>
      <w:r w:rsidRPr="006261A4">
        <w:t xml:space="preserve">Efter en periode kommer hun på et pigehjem med en god normering af pædagoger, der samtidig også er engagerede i det de laver. Lisbeth føler næsten mere, det er et hjem end en institution, hun er kommet til. Her starter hun på gymnasiet, og på hjemmet får hun en nær kontakt til pædagogen </w:t>
      </w:r>
      <w:r w:rsidRPr="006261A4">
        <w:lastRenderedPageBreak/>
        <w:t xml:space="preserve">Karen. Hun begynder at komme i Karens hjem. Hun ser her hvordan en familie kan fungere, og hun bliver en meget tæt ven af familien. </w:t>
      </w:r>
    </w:p>
    <w:p w14:paraId="282E1F07" w14:textId="77777777" w:rsidR="0072022E" w:rsidRPr="006261A4" w:rsidRDefault="0072022E" w:rsidP="004842E5">
      <w:pPr>
        <w:pStyle w:val="NormalWeb"/>
        <w:spacing w:line="360" w:lineRule="auto"/>
      </w:pPr>
      <w:r w:rsidRPr="006261A4">
        <w:t xml:space="preserve">I dag har Lisbeth selv fået familie og børn. Hun har stadig kontakt med Karen. De holder et foredrag sammen, de kalder ”Børnehjemsungen og socialpædagogen”. Brødrene går det derimod ikke særlig godt for. En har begået selvmord og to andre er i dag blandingsmisbrugere. </w:t>
      </w:r>
    </w:p>
    <w:p w14:paraId="0C69063E" w14:textId="77777777" w:rsidR="0072022E" w:rsidRPr="006261A4" w:rsidRDefault="0072022E" w:rsidP="004842E5">
      <w:pPr>
        <w:pStyle w:val="NormalWeb"/>
        <w:spacing w:line="360" w:lineRule="auto"/>
      </w:pPr>
      <w:r w:rsidRPr="006261A4">
        <w:t>I artiklen: "Frygten som opdrift" siger Lisbeth afsluttende:</w:t>
      </w:r>
    </w:p>
    <w:p w14:paraId="21CC2372" w14:textId="5A68F066" w:rsidR="00023A38" w:rsidRPr="00A367F2" w:rsidRDefault="0072022E" w:rsidP="00A367F2">
      <w:pPr>
        <w:pStyle w:val="NormalWeb"/>
        <w:spacing w:line="360" w:lineRule="auto"/>
      </w:pPr>
      <w:r w:rsidRPr="006261A4">
        <w:t xml:space="preserve">Jeg vil altid kæmpe for anerkendelsen, fordi den ikke kom ind med modermælken. Min selvtillid er høj, men mit selvværd er ekstremt lavt, og det er formodentlig også derfor, at jeg stadig ligger ude i overhalingsbanen. Jeg har meget svært ved at hæve foden fra speederen og bare slappe af og nyde det. Det er ikke min bestyrelse eller mine medarbejdere, som beder mig om at knokle så meget – tværtimod, så synes de </w:t>
      </w:r>
      <w:proofErr w:type="gramStart"/>
      <w:r w:rsidRPr="006261A4">
        <w:t>nogen</w:t>
      </w:r>
      <w:proofErr w:type="gramEnd"/>
      <w:r w:rsidRPr="006261A4">
        <w:t xml:space="preserve"> gange, at jeg blander mig vel rigeligt. Som min eksmand sagde, så må jeg forstå, at jeg ikke længere er en Fiat 127, der kæmper for at overhale de andre, men i stedet er blevet en amerikansk flyder, der godt kan tillade sig at tøffe af sted på motorvejen.</w:t>
      </w:r>
    </w:p>
    <w:p w14:paraId="42FC23DE" w14:textId="77777777" w:rsidR="004842E5" w:rsidRDefault="004842E5" w:rsidP="004842E5">
      <w:pPr>
        <w:pStyle w:val="Overskrift1"/>
        <w:rPr>
          <w:rFonts w:ascii="Segoe UI" w:hAnsi="Segoe UI"/>
          <w:sz w:val="18"/>
          <w:szCs w:val="18"/>
        </w:rPr>
      </w:pPr>
      <w:r>
        <w:rPr>
          <w:rStyle w:val="normaltextrun"/>
          <w:rFonts w:ascii="Cambria" w:hAnsi="Cambria" w:cs="Segoe UI"/>
          <w:b/>
          <w:bCs/>
          <w:sz w:val="36"/>
          <w:szCs w:val="36"/>
        </w:rPr>
        <w:t xml:space="preserve">Bilag 2: Resumé af </w:t>
      </w:r>
      <w:proofErr w:type="spellStart"/>
      <w:r>
        <w:rPr>
          <w:rStyle w:val="normaltextrun"/>
          <w:rFonts w:ascii="Cambria" w:hAnsi="Cambria" w:cs="Segoe UI"/>
          <w:b/>
          <w:bCs/>
          <w:sz w:val="36"/>
          <w:szCs w:val="36"/>
        </w:rPr>
        <w:t>Kauai</w:t>
      </w:r>
      <w:proofErr w:type="spellEnd"/>
      <w:r>
        <w:rPr>
          <w:rStyle w:val="normaltextrun"/>
          <w:rFonts w:ascii="Cambria" w:hAnsi="Cambria" w:cs="Segoe UI"/>
          <w:b/>
          <w:bCs/>
          <w:sz w:val="36"/>
          <w:szCs w:val="36"/>
        </w:rPr>
        <w:t>-undersøgelsen</w:t>
      </w:r>
      <w:r>
        <w:rPr>
          <w:rStyle w:val="eop"/>
          <w:rFonts w:ascii="Cambria" w:hAnsi="Cambria" w:cs="Segoe UI"/>
          <w:sz w:val="36"/>
          <w:szCs w:val="36"/>
        </w:rPr>
        <w:t> </w:t>
      </w:r>
    </w:p>
    <w:p w14:paraId="5DF8D0D7" w14:textId="77777777" w:rsidR="004842E5" w:rsidRDefault="004842E5" w:rsidP="004842E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eastAsia="Calibri" w:hAnsi="Cambria" w:cs="Segoe UI"/>
          <w:b/>
          <w:bCs/>
          <w:sz w:val="22"/>
          <w:szCs w:val="22"/>
        </w:rPr>
        <w:t xml:space="preserve">Længdesnitsundersøgelse om resiliensskabende faktorer i og uden for børn – </w:t>
      </w:r>
      <w:proofErr w:type="spellStart"/>
      <w:r>
        <w:rPr>
          <w:rStyle w:val="normaltextrun"/>
          <w:rFonts w:ascii="Cambria" w:eastAsia="Calibri" w:hAnsi="Cambria" w:cs="Segoe UI"/>
          <w:b/>
          <w:bCs/>
          <w:sz w:val="22"/>
          <w:szCs w:val="22"/>
        </w:rPr>
        <w:t>Kauai</w:t>
      </w:r>
      <w:proofErr w:type="spellEnd"/>
      <w:r>
        <w:rPr>
          <w:rStyle w:val="normaltextrun"/>
          <w:rFonts w:ascii="Cambria" w:eastAsia="Calibri" w:hAnsi="Cambria" w:cs="Segoe UI"/>
          <w:b/>
          <w:bCs/>
          <w:sz w:val="22"/>
          <w:szCs w:val="22"/>
        </w:rPr>
        <w:t>-undersøgelsen</w:t>
      </w:r>
      <w:r>
        <w:rPr>
          <w:rStyle w:val="eop"/>
          <w:rFonts w:ascii="Cambria" w:hAnsi="Cambria" w:cs="Segoe UI"/>
          <w:sz w:val="22"/>
          <w:szCs w:val="22"/>
        </w:rPr>
        <w:t> </w:t>
      </w:r>
    </w:p>
    <w:p w14:paraId="2D70B61A" w14:textId="77777777" w:rsidR="004842E5" w:rsidRDefault="004842E5" w:rsidP="004842E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eastAsia="Calibri" w:hAnsi="Cambria" w:cs="Segoe UI"/>
          <w:b/>
          <w:bCs/>
          <w:sz w:val="22"/>
          <w:szCs w:val="22"/>
        </w:rPr>
        <w:t>Udført af:</w:t>
      </w:r>
      <w:r>
        <w:rPr>
          <w:rStyle w:val="normaltextrun"/>
          <w:rFonts w:ascii="Cambria" w:eastAsia="Calibri" w:hAnsi="Cambria" w:cs="Segoe UI"/>
          <w:sz w:val="22"/>
          <w:szCs w:val="22"/>
        </w:rPr>
        <w:t xml:space="preserve"> Emmy Werner og Ruth Smith.</w:t>
      </w:r>
      <w:r>
        <w:rPr>
          <w:rStyle w:val="eop"/>
          <w:rFonts w:ascii="Cambria" w:hAnsi="Cambria" w:cs="Segoe UI"/>
          <w:sz w:val="22"/>
          <w:szCs w:val="22"/>
        </w:rPr>
        <w:t> </w:t>
      </w:r>
    </w:p>
    <w:p w14:paraId="5806CFCC" w14:textId="77777777" w:rsidR="004842E5" w:rsidRPr="00BB1483" w:rsidRDefault="004842E5" w:rsidP="004842E5">
      <w:pPr>
        <w:pStyle w:val="paragraph"/>
        <w:spacing w:before="0" w:beforeAutospacing="0" w:after="0" w:afterAutospacing="0" w:line="360" w:lineRule="auto"/>
        <w:textAlignment w:val="baseline"/>
        <w:rPr>
          <w:rFonts w:ascii="Segoe UI" w:hAnsi="Segoe UI" w:cs="Segoe UI"/>
          <w:sz w:val="18"/>
          <w:szCs w:val="18"/>
          <w:lang w:val="en-US"/>
        </w:rPr>
      </w:pPr>
      <w:proofErr w:type="spellStart"/>
      <w:r>
        <w:rPr>
          <w:rStyle w:val="normaltextrun"/>
          <w:rFonts w:ascii="Cambria" w:eastAsia="Calibri" w:hAnsi="Cambria" w:cs="Segoe UI"/>
          <w:b/>
          <w:bCs/>
          <w:sz w:val="22"/>
          <w:szCs w:val="22"/>
          <w:lang w:val="en-US"/>
        </w:rPr>
        <w:t>Præsenteret</w:t>
      </w:r>
      <w:proofErr w:type="spellEnd"/>
      <w:r>
        <w:rPr>
          <w:rStyle w:val="normaltextrun"/>
          <w:rFonts w:ascii="Cambria" w:eastAsia="Calibri" w:hAnsi="Cambria" w:cs="Segoe UI"/>
          <w:b/>
          <w:bCs/>
          <w:sz w:val="22"/>
          <w:szCs w:val="22"/>
          <w:lang w:val="en-US"/>
        </w:rPr>
        <w:t xml:space="preserve">: </w:t>
      </w:r>
      <w:r>
        <w:rPr>
          <w:rStyle w:val="normaltextrun"/>
          <w:rFonts w:ascii="Cambria" w:eastAsia="Calibri" w:hAnsi="Cambria" w:cs="Segoe UI"/>
          <w:sz w:val="22"/>
          <w:szCs w:val="22"/>
          <w:lang w:val="en-US"/>
        </w:rPr>
        <w:t>2005 (</w:t>
      </w:r>
      <w:r>
        <w:rPr>
          <w:rStyle w:val="normaltextrun"/>
          <w:rFonts w:ascii="Cambria" w:eastAsia="Calibri" w:hAnsi="Cambria" w:cs="Segoe UI"/>
          <w:i/>
          <w:iCs/>
          <w:sz w:val="22"/>
          <w:szCs w:val="22"/>
          <w:lang w:val="en-US"/>
        </w:rPr>
        <w:t>Focal Point: Research, Policy, and Practice in Children’s Mental Health</w:t>
      </w:r>
      <w:r>
        <w:rPr>
          <w:rStyle w:val="normaltextrun"/>
          <w:rFonts w:ascii="Cambria" w:eastAsia="Calibri" w:hAnsi="Cambria" w:cs="Segoe UI"/>
          <w:sz w:val="22"/>
          <w:szCs w:val="22"/>
          <w:lang w:val="en-US"/>
        </w:rPr>
        <w:t>, vol. 19, nr. 1, s. 11-14).</w:t>
      </w:r>
      <w:r w:rsidRPr="00BB1483">
        <w:rPr>
          <w:rStyle w:val="eop"/>
          <w:rFonts w:ascii="Cambria" w:hAnsi="Cambria" w:cs="Segoe UI"/>
          <w:sz w:val="22"/>
          <w:szCs w:val="22"/>
          <w:lang w:val="en-US"/>
        </w:rPr>
        <w:t> </w:t>
      </w:r>
    </w:p>
    <w:p w14:paraId="185EA279" w14:textId="77777777" w:rsidR="004842E5" w:rsidRDefault="004842E5" w:rsidP="004842E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eastAsia="Calibri" w:hAnsi="Cambria" w:cs="Segoe UI"/>
          <w:b/>
          <w:bCs/>
          <w:sz w:val="22"/>
          <w:szCs w:val="22"/>
        </w:rPr>
        <w:t xml:space="preserve">Formål med undersøgelsen: </w:t>
      </w:r>
      <w:r>
        <w:rPr>
          <w:rStyle w:val="normaltextrun"/>
          <w:rFonts w:ascii="Cambria" w:eastAsia="Calibri" w:hAnsi="Cambria" w:cs="Segoe UI"/>
          <w:sz w:val="22"/>
          <w:szCs w:val="22"/>
        </w:rPr>
        <w:t>At undersøge hvilke beskyttende faktorer, der muliggør, at børn, der vokser op i svære livsomstændigheder, udvikler sig normalt senere i livet.</w:t>
      </w:r>
      <w:r>
        <w:rPr>
          <w:rStyle w:val="eop"/>
          <w:rFonts w:ascii="Cambria" w:hAnsi="Cambria" w:cs="Segoe UI"/>
          <w:sz w:val="22"/>
          <w:szCs w:val="22"/>
        </w:rPr>
        <w:t> </w:t>
      </w:r>
    </w:p>
    <w:p w14:paraId="018BBBE0" w14:textId="77777777" w:rsidR="004842E5" w:rsidRDefault="004842E5" w:rsidP="004842E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eastAsia="Calibri" w:hAnsi="Cambria" w:cs="Segoe UI"/>
          <w:b/>
          <w:bCs/>
          <w:sz w:val="22"/>
          <w:szCs w:val="22"/>
        </w:rPr>
        <w:t xml:space="preserve">Metode: </w:t>
      </w:r>
      <w:r>
        <w:rPr>
          <w:rStyle w:val="normaltextrun"/>
          <w:rFonts w:ascii="Cambria" w:eastAsia="Calibri" w:hAnsi="Cambria" w:cs="Segoe UI"/>
          <w:sz w:val="22"/>
          <w:szCs w:val="22"/>
        </w:rPr>
        <w:t>Observation, interview, psykologiske tests, arkivdataindsamling.</w:t>
      </w:r>
      <w:r>
        <w:rPr>
          <w:rStyle w:val="eop"/>
          <w:rFonts w:ascii="Cambria" w:hAnsi="Cambria" w:cs="Segoe UI"/>
          <w:sz w:val="22"/>
          <w:szCs w:val="22"/>
        </w:rPr>
        <w:t> </w:t>
      </w:r>
    </w:p>
    <w:p w14:paraId="68B33187" w14:textId="77777777" w:rsidR="004842E5" w:rsidRDefault="004842E5" w:rsidP="004842E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eastAsia="Calibri" w:hAnsi="Cambria" w:cs="Segoe UI"/>
          <w:b/>
          <w:bCs/>
          <w:sz w:val="22"/>
          <w:szCs w:val="22"/>
        </w:rPr>
        <w:t>Deltagere:</w:t>
      </w:r>
      <w:r>
        <w:rPr>
          <w:rStyle w:val="normaltextrun"/>
          <w:rFonts w:ascii="Cambria" w:eastAsia="Calibri" w:hAnsi="Cambria" w:cs="Segoe UI"/>
          <w:sz w:val="22"/>
          <w:szCs w:val="22"/>
        </w:rPr>
        <w:t xml:space="preserve"> 698 børn, der blev født i 1955 på øen </w:t>
      </w:r>
      <w:proofErr w:type="spellStart"/>
      <w:r>
        <w:rPr>
          <w:rStyle w:val="normaltextrun"/>
          <w:rFonts w:ascii="Cambria" w:eastAsia="Calibri" w:hAnsi="Cambria" w:cs="Segoe UI"/>
          <w:sz w:val="22"/>
          <w:szCs w:val="22"/>
        </w:rPr>
        <w:t>Kauai</w:t>
      </w:r>
      <w:proofErr w:type="spellEnd"/>
      <w:r>
        <w:rPr>
          <w:rStyle w:val="normaltextrun"/>
          <w:rFonts w:ascii="Cambria" w:eastAsia="Calibri" w:hAnsi="Cambria" w:cs="Segoe UI"/>
          <w:sz w:val="22"/>
          <w:szCs w:val="22"/>
        </w:rPr>
        <w:t xml:space="preserve"> i Hawaii.</w:t>
      </w:r>
      <w:r>
        <w:rPr>
          <w:rStyle w:val="eop"/>
          <w:rFonts w:ascii="Cambria" w:hAnsi="Cambria" w:cs="Segoe UI"/>
          <w:sz w:val="22"/>
          <w:szCs w:val="22"/>
        </w:rPr>
        <w:t> </w:t>
      </w:r>
    </w:p>
    <w:p w14:paraId="3D7FE7E1" w14:textId="77777777" w:rsidR="004842E5" w:rsidRDefault="004842E5" w:rsidP="004842E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eastAsia="Calibri" w:hAnsi="Cambria" w:cs="Segoe UI"/>
          <w:b/>
          <w:bCs/>
          <w:sz w:val="22"/>
          <w:szCs w:val="22"/>
        </w:rPr>
        <w:t>Design:</w:t>
      </w:r>
      <w:r>
        <w:rPr>
          <w:rStyle w:val="normaltextrun"/>
          <w:rFonts w:ascii="Cambria" w:eastAsia="Calibri" w:hAnsi="Cambria" w:cs="Segoe UI"/>
          <w:sz w:val="22"/>
          <w:szCs w:val="22"/>
        </w:rPr>
        <w:t xml:space="preserve"> Deltagernes udvikling og livsomstændigheder blev undersøgt af bl.a. læger, sundhedsplejersker, socialarbejdere samt forskerne selv, da de var 1, 2, 10, 18, 32 og 40 år gamle.</w:t>
      </w:r>
      <w:r>
        <w:rPr>
          <w:rStyle w:val="eop"/>
          <w:rFonts w:ascii="Cambria" w:hAnsi="Cambria" w:cs="Segoe UI"/>
          <w:sz w:val="22"/>
          <w:szCs w:val="22"/>
        </w:rPr>
        <w:t> </w:t>
      </w:r>
    </w:p>
    <w:p w14:paraId="6EEF6DE4" w14:textId="77777777" w:rsidR="004842E5" w:rsidRDefault="004842E5" w:rsidP="004842E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eastAsia="Calibri" w:hAnsi="Cambria" w:cs="Segoe UI"/>
          <w:b/>
          <w:bCs/>
          <w:sz w:val="22"/>
          <w:szCs w:val="22"/>
        </w:rPr>
        <w:t>Resultater:</w:t>
      </w:r>
      <w:r>
        <w:rPr>
          <w:rStyle w:val="normaltextrun"/>
          <w:rFonts w:ascii="Cambria" w:eastAsia="Calibri" w:hAnsi="Cambria" w:cs="Segoe UI"/>
          <w:sz w:val="22"/>
          <w:szCs w:val="22"/>
        </w:rPr>
        <w:t xml:space="preserve"> Forskerne så, at ca. 30 % af deltagerne (n=210) havde haft flere svære opvækstvilkår, dvs. de lå i en højrisikozone, fordi de havde været udsat for mindst fire risikofaktorer. Det kunne f.eks. være komplikationer omkring fødslen eller et hjem præget af fattigdom, psykisk sygdom, alkoholisme, vold eller ægteskabelige problemer. Det kunne også være, at de var blevet forældre i en ung alder. En stor del af deltagerne i højrisikozonen (n=129) udviklede indlærings- og adfærdsproblemer som 2-årige og havde bl.a. mentale problemer og plettede straffeattester som 18-årige. Den resterende del af </w:t>
      </w:r>
      <w:r>
        <w:rPr>
          <w:rStyle w:val="normaltextrun"/>
          <w:rFonts w:ascii="Cambria" w:eastAsia="Calibri" w:hAnsi="Cambria" w:cs="Segoe UI"/>
          <w:sz w:val="22"/>
          <w:szCs w:val="22"/>
        </w:rPr>
        <w:lastRenderedPageBreak/>
        <w:t xml:space="preserve">deltagerne i højrisikozonen voksede dog op til at blive kompetente, socialt velfungerende og omsorgsfulde voksne, dvs. deres udvikling bar </w:t>
      </w:r>
      <w:r>
        <w:rPr>
          <w:rStyle w:val="normaltextrun"/>
          <w:rFonts w:ascii="Cambria" w:eastAsia="Calibri" w:hAnsi="Cambria" w:cs="Segoe UI"/>
          <w:i/>
          <w:iCs/>
          <w:sz w:val="22"/>
          <w:szCs w:val="22"/>
        </w:rPr>
        <w:t>ikke</w:t>
      </w:r>
      <w:r>
        <w:rPr>
          <w:rStyle w:val="normaltextrun"/>
          <w:rFonts w:ascii="Cambria" w:eastAsia="Calibri" w:hAnsi="Cambria" w:cs="Segoe UI"/>
          <w:sz w:val="22"/>
          <w:szCs w:val="22"/>
        </w:rPr>
        <w:t xml:space="preserve"> præg af deres hårde opvækst. Forskerne fandt, at disse risikoprægede deltagere med normal udvikling havde en række beskyttende faktorer i deres liv, som altså opvejede risikofaktorerne:</w:t>
      </w:r>
      <w:r>
        <w:rPr>
          <w:rStyle w:val="eop"/>
          <w:rFonts w:ascii="Cambria" w:hAnsi="Cambria" w:cs="Segoe UI"/>
          <w:sz w:val="22"/>
          <w:szCs w:val="22"/>
        </w:rPr>
        <w:t> </w:t>
      </w:r>
    </w:p>
    <w:p w14:paraId="7257A4C8" w14:textId="77777777" w:rsidR="004842E5" w:rsidRDefault="004842E5" w:rsidP="004842E5">
      <w:pPr>
        <w:pStyle w:val="paragraph"/>
        <w:numPr>
          <w:ilvl w:val="0"/>
          <w:numId w:val="4"/>
        </w:numPr>
        <w:spacing w:before="0" w:beforeAutospacing="0" w:after="0" w:afterAutospacing="0" w:line="360" w:lineRule="auto"/>
        <w:ind w:left="1080" w:firstLine="0"/>
        <w:textAlignment w:val="baseline"/>
        <w:rPr>
          <w:rFonts w:ascii="Cambria" w:hAnsi="Cambria" w:cs="Segoe UI"/>
          <w:sz w:val="22"/>
          <w:szCs w:val="22"/>
        </w:rPr>
      </w:pPr>
      <w:r>
        <w:rPr>
          <w:rStyle w:val="normaltextrun"/>
          <w:rFonts w:ascii="Cambria" w:eastAsia="Calibri" w:hAnsi="Cambria" w:cs="Segoe UI"/>
          <w:sz w:val="22"/>
          <w:szCs w:val="22"/>
        </w:rPr>
        <w:t>Beskyttende faktorer i personen: f.eks. gode problemløsningsevner, stærk impulskontrol eller et mildt og godmodigt temperament, som opmuntrede omsorgspersoner til kontakt.</w:t>
      </w:r>
      <w:r>
        <w:rPr>
          <w:rStyle w:val="eop"/>
          <w:rFonts w:ascii="Cambria" w:hAnsi="Cambria" w:cs="Segoe UI"/>
          <w:sz w:val="22"/>
          <w:szCs w:val="22"/>
        </w:rPr>
        <w:t> </w:t>
      </w:r>
    </w:p>
    <w:p w14:paraId="27598EA9" w14:textId="77777777" w:rsidR="004842E5" w:rsidRDefault="004842E5" w:rsidP="004842E5">
      <w:pPr>
        <w:pStyle w:val="paragraph"/>
        <w:numPr>
          <w:ilvl w:val="0"/>
          <w:numId w:val="5"/>
        </w:numPr>
        <w:spacing w:before="0" w:beforeAutospacing="0" w:after="0" w:afterAutospacing="0" w:line="360" w:lineRule="auto"/>
        <w:ind w:left="1080" w:firstLine="0"/>
        <w:textAlignment w:val="baseline"/>
        <w:rPr>
          <w:rFonts w:ascii="Cambria" w:hAnsi="Cambria" w:cs="Segoe UI"/>
          <w:sz w:val="22"/>
          <w:szCs w:val="22"/>
        </w:rPr>
      </w:pPr>
      <w:r>
        <w:rPr>
          <w:rStyle w:val="normaltextrun"/>
          <w:rFonts w:ascii="Cambria" w:eastAsia="Calibri" w:hAnsi="Cambria" w:cs="Segoe UI"/>
          <w:sz w:val="22"/>
          <w:szCs w:val="22"/>
        </w:rPr>
        <w:t>Beskyttende faktorer i familien: f.eks. faste strukturer og regler i hjemmet eller muligheder for at knytte nære bånd med et følelsesmæssigt stabilt familiemedlem evt. uden for hjemmet (f.eks. en bedsteforælder).</w:t>
      </w:r>
      <w:r>
        <w:rPr>
          <w:rStyle w:val="eop"/>
          <w:rFonts w:ascii="Cambria" w:hAnsi="Cambria" w:cs="Segoe UI"/>
          <w:sz w:val="22"/>
          <w:szCs w:val="22"/>
        </w:rPr>
        <w:t> </w:t>
      </w:r>
    </w:p>
    <w:p w14:paraId="31C2A291" w14:textId="77777777" w:rsidR="004842E5" w:rsidRDefault="004842E5" w:rsidP="004842E5">
      <w:pPr>
        <w:pStyle w:val="paragraph"/>
        <w:numPr>
          <w:ilvl w:val="0"/>
          <w:numId w:val="6"/>
        </w:numPr>
        <w:spacing w:before="0" w:beforeAutospacing="0" w:after="0" w:afterAutospacing="0" w:line="360" w:lineRule="auto"/>
        <w:ind w:left="1080" w:firstLine="0"/>
        <w:textAlignment w:val="baseline"/>
        <w:rPr>
          <w:rFonts w:ascii="Cambria" w:hAnsi="Cambria" w:cs="Segoe UI"/>
          <w:sz w:val="22"/>
          <w:szCs w:val="22"/>
        </w:rPr>
      </w:pPr>
      <w:r>
        <w:rPr>
          <w:rStyle w:val="normaltextrun"/>
          <w:rFonts w:ascii="Cambria" w:eastAsia="Calibri" w:hAnsi="Cambria" w:cs="Segoe UI"/>
          <w:sz w:val="22"/>
          <w:szCs w:val="22"/>
        </w:rPr>
        <w:t xml:space="preserve">Beskyttende faktorer i nærområdet: f.eks. at spørge jævnaldrende eller ældre i nærområdet (f.eks. lærere) til råds </w:t>
      </w:r>
      <w:proofErr w:type="gramStart"/>
      <w:r>
        <w:rPr>
          <w:rStyle w:val="normaltextrun"/>
          <w:rFonts w:ascii="Cambria" w:eastAsia="Calibri" w:hAnsi="Cambria" w:cs="Segoe UI"/>
          <w:sz w:val="22"/>
          <w:szCs w:val="22"/>
        </w:rPr>
        <w:t>omkring</w:t>
      </w:r>
      <w:proofErr w:type="gramEnd"/>
      <w:r>
        <w:rPr>
          <w:rStyle w:val="normaltextrun"/>
          <w:rFonts w:ascii="Cambria" w:eastAsia="Calibri" w:hAnsi="Cambria" w:cs="Segoe UI"/>
          <w:sz w:val="22"/>
          <w:szCs w:val="22"/>
        </w:rPr>
        <w:t xml:space="preserve"> emotionelle udfordringer eller personlige kriser.</w:t>
      </w:r>
      <w:r>
        <w:rPr>
          <w:rStyle w:val="eop"/>
          <w:rFonts w:ascii="Cambria" w:hAnsi="Cambria" w:cs="Segoe UI"/>
          <w:sz w:val="22"/>
          <w:szCs w:val="22"/>
        </w:rPr>
        <w:t> </w:t>
      </w:r>
    </w:p>
    <w:p w14:paraId="12E35EDC" w14:textId="77777777" w:rsidR="004842E5" w:rsidRDefault="004842E5" w:rsidP="004842E5">
      <w:pPr>
        <w:pStyle w:val="paragraph"/>
        <w:shd w:val="clear" w:color="auto" w:fill="FFFFFF"/>
        <w:spacing w:before="0" w:beforeAutospacing="0" w:after="0" w:afterAutospacing="0" w:line="360" w:lineRule="auto"/>
        <w:textAlignment w:val="baseline"/>
        <w:rPr>
          <w:rFonts w:ascii="Segoe UI" w:hAnsi="Segoe UI" w:cs="Segoe UI"/>
          <w:sz w:val="18"/>
          <w:szCs w:val="18"/>
        </w:rPr>
      </w:pPr>
      <w:r>
        <w:rPr>
          <w:rStyle w:val="normaltextrun"/>
          <w:rFonts w:ascii="Cambria" w:eastAsia="Calibri" w:hAnsi="Cambria" w:cs="Segoe UI"/>
          <w:sz w:val="22"/>
          <w:szCs w:val="22"/>
        </w:rPr>
        <w:t xml:space="preserve">Forskerne fandt også, at de fleste deltagere i højrisikogruppen, som havde haft udviklingsproblemer i ungdomsårene (pga. de mange risikofaktorer), faktisk levede velfungerende liv i den sidste del af undersøgelsen, dvs. efter de havde rundet de 30 år. Forskerne så en forklaring i, at der var sket ting i deres liv, som var en slags vendepunktserfaringer, der havde åbnet nye muligheder for dem. Det kunne f.eks. være </w:t>
      </w:r>
      <w:proofErr w:type="gramStart"/>
      <w:r>
        <w:rPr>
          <w:rStyle w:val="normaltextrun"/>
          <w:rFonts w:ascii="Cambria" w:eastAsia="Calibri" w:hAnsi="Cambria" w:cs="Segoe UI"/>
          <w:sz w:val="22"/>
          <w:szCs w:val="22"/>
        </w:rPr>
        <w:t>militærtjeneste,</w:t>
      </w:r>
      <w:proofErr w:type="gramEnd"/>
      <w:r>
        <w:rPr>
          <w:rStyle w:val="normaltextrun"/>
          <w:rFonts w:ascii="Cambria" w:eastAsia="Calibri" w:hAnsi="Cambria" w:cs="Segoe UI"/>
          <w:sz w:val="22"/>
          <w:szCs w:val="22"/>
        </w:rPr>
        <w:t xml:space="preserve"> at blive gift med en stabil partner, en nærdødsoplevelse eller det at gå ind i et religiøst trosfællesskab.</w:t>
      </w:r>
      <w:r>
        <w:rPr>
          <w:rStyle w:val="eop"/>
          <w:rFonts w:ascii="Cambria" w:hAnsi="Cambria" w:cs="Segoe UI"/>
          <w:sz w:val="22"/>
          <w:szCs w:val="22"/>
        </w:rPr>
        <w:t> </w:t>
      </w:r>
    </w:p>
    <w:p w14:paraId="37BACAA8" w14:textId="77777777" w:rsidR="004842E5" w:rsidRDefault="004842E5" w:rsidP="004842E5"/>
    <w:p w14:paraId="6FFC3DE2" w14:textId="77777777" w:rsidR="004842E5" w:rsidRPr="006261A4" w:rsidRDefault="004842E5" w:rsidP="006261A4">
      <w:pPr>
        <w:rPr>
          <w:rFonts w:ascii="Times New Roman" w:hAnsi="Times New Roman"/>
          <w:sz w:val="24"/>
          <w:szCs w:val="24"/>
          <w:lang w:eastAsia="da-DK"/>
        </w:rPr>
      </w:pPr>
    </w:p>
    <w:sectPr w:rsidR="004842E5" w:rsidRPr="006261A4" w:rsidSect="00F6675A">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7098" w14:textId="77777777" w:rsidR="00585C36" w:rsidRDefault="00585C36">
      <w:pPr>
        <w:spacing w:after="0" w:line="240" w:lineRule="auto"/>
      </w:pPr>
      <w:r>
        <w:separator/>
      </w:r>
    </w:p>
  </w:endnote>
  <w:endnote w:type="continuationSeparator" w:id="0">
    <w:p w14:paraId="58D0E5A3" w14:textId="77777777" w:rsidR="00585C36" w:rsidRDefault="0058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66367"/>
      <w:docPartObj>
        <w:docPartGallery w:val="Page Numbers (Bottom of Page)"/>
        <w:docPartUnique/>
      </w:docPartObj>
    </w:sdtPr>
    <w:sdtEndPr/>
    <w:sdtContent>
      <w:p w14:paraId="268CB3C8" w14:textId="0541B5F4" w:rsidR="00585C36" w:rsidRDefault="00867878" w:rsidP="00867878">
        <w:pPr>
          <w:pStyle w:val="Sidefod"/>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8F7A" w14:textId="77777777" w:rsidR="00585C36" w:rsidRDefault="00585C36">
      <w:pPr>
        <w:spacing w:after="0" w:line="240" w:lineRule="auto"/>
      </w:pPr>
      <w:r>
        <w:separator/>
      </w:r>
    </w:p>
  </w:footnote>
  <w:footnote w:type="continuationSeparator" w:id="0">
    <w:p w14:paraId="0A2E5427" w14:textId="77777777" w:rsidR="00585C36" w:rsidRDefault="0058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7B4"/>
    <w:multiLevelType w:val="multilevel"/>
    <w:tmpl w:val="F63AB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A0D3E"/>
    <w:multiLevelType w:val="multilevel"/>
    <w:tmpl w:val="57B08E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065310E"/>
    <w:multiLevelType w:val="multilevel"/>
    <w:tmpl w:val="F63AB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9615A"/>
    <w:multiLevelType w:val="hybridMultilevel"/>
    <w:tmpl w:val="0C3A8C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8D7BB7"/>
    <w:multiLevelType w:val="multilevel"/>
    <w:tmpl w:val="E01C2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3CB0C1F"/>
    <w:multiLevelType w:val="multilevel"/>
    <w:tmpl w:val="5B902B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1904621">
    <w:abstractNumId w:val="0"/>
  </w:num>
  <w:num w:numId="2" w16cid:durableId="1787771547">
    <w:abstractNumId w:val="3"/>
  </w:num>
  <w:num w:numId="3" w16cid:durableId="473373448">
    <w:abstractNumId w:val="2"/>
  </w:num>
  <w:num w:numId="4" w16cid:durableId="1724208242">
    <w:abstractNumId w:val="4"/>
  </w:num>
  <w:num w:numId="5" w16cid:durableId="1337532918">
    <w:abstractNumId w:val="1"/>
  </w:num>
  <w:num w:numId="6" w16cid:durableId="159370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2E"/>
    <w:rsid w:val="00023A38"/>
    <w:rsid w:val="00111A36"/>
    <w:rsid w:val="00173B93"/>
    <w:rsid w:val="001C4E6A"/>
    <w:rsid w:val="002A7CBD"/>
    <w:rsid w:val="00317851"/>
    <w:rsid w:val="00327776"/>
    <w:rsid w:val="0034456F"/>
    <w:rsid w:val="003A7327"/>
    <w:rsid w:val="004842E5"/>
    <w:rsid w:val="005008C1"/>
    <w:rsid w:val="005027C2"/>
    <w:rsid w:val="00585C36"/>
    <w:rsid w:val="006261A4"/>
    <w:rsid w:val="006F748B"/>
    <w:rsid w:val="0072022E"/>
    <w:rsid w:val="008044AA"/>
    <w:rsid w:val="00867878"/>
    <w:rsid w:val="00A367F2"/>
    <w:rsid w:val="00A71773"/>
    <w:rsid w:val="00B94D79"/>
    <w:rsid w:val="00C120C5"/>
    <w:rsid w:val="00D44008"/>
    <w:rsid w:val="00DD130C"/>
    <w:rsid w:val="00E21D7E"/>
    <w:rsid w:val="00F546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A0B0"/>
  <w15:docId w15:val="{E7789182-986B-4980-8551-3665E2D6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2E"/>
    <w:rPr>
      <w:rFonts w:ascii="Calibri" w:eastAsia="Calibri" w:hAnsi="Calibri" w:cs="Times New Roman"/>
    </w:rPr>
  </w:style>
  <w:style w:type="paragraph" w:styleId="Overskrift1">
    <w:name w:val="heading 1"/>
    <w:basedOn w:val="Normal"/>
    <w:next w:val="Normal"/>
    <w:link w:val="Overskrift1Tegn"/>
    <w:uiPriority w:val="9"/>
    <w:qFormat/>
    <w:rsid w:val="00A717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72022E"/>
    <w:pPr>
      <w:keepNext/>
      <w:keepLines/>
      <w:spacing w:before="200" w:after="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2022E"/>
    <w:rPr>
      <w:rFonts w:ascii="Cambria" w:eastAsia="Times New Roman" w:hAnsi="Cambria" w:cs="Times New Roman"/>
      <w:b/>
      <w:bCs/>
      <w:color w:val="4F81BD"/>
      <w:sz w:val="26"/>
      <w:szCs w:val="26"/>
    </w:rPr>
  </w:style>
  <w:style w:type="paragraph" w:styleId="NormalWeb">
    <w:name w:val="Normal (Web)"/>
    <w:basedOn w:val="Normal"/>
    <w:uiPriority w:val="99"/>
    <w:unhideWhenUsed/>
    <w:rsid w:val="0072022E"/>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glossary-term">
    <w:name w:val="glossary-term"/>
    <w:basedOn w:val="Standardskrifttypeiafsnit"/>
    <w:rsid w:val="0072022E"/>
  </w:style>
  <w:style w:type="paragraph" w:styleId="Sidefod">
    <w:name w:val="footer"/>
    <w:basedOn w:val="Normal"/>
    <w:link w:val="SidefodTegn"/>
    <w:uiPriority w:val="99"/>
    <w:unhideWhenUsed/>
    <w:rsid w:val="0072022E"/>
    <w:pPr>
      <w:tabs>
        <w:tab w:val="center" w:pos="4819"/>
        <w:tab w:val="right" w:pos="9638"/>
      </w:tabs>
    </w:pPr>
  </w:style>
  <w:style w:type="character" w:customStyle="1" w:styleId="SidefodTegn">
    <w:name w:val="Sidefod Tegn"/>
    <w:basedOn w:val="Standardskrifttypeiafsnit"/>
    <w:link w:val="Sidefod"/>
    <w:uiPriority w:val="99"/>
    <w:rsid w:val="0072022E"/>
    <w:rPr>
      <w:rFonts w:ascii="Calibri" w:eastAsia="Calibri" w:hAnsi="Calibri" w:cs="Times New Roman"/>
    </w:rPr>
  </w:style>
  <w:style w:type="paragraph" w:styleId="Listeafsnit">
    <w:name w:val="List Paragraph"/>
    <w:basedOn w:val="Normal"/>
    <w:uiPriority w:val="34"/>
    <w:qFormat/>
    <w:rsid w:val="00B94D79"/>
    <w:pPr>
      <w:ind w:left="720"/>
      <w:contextualSpacing/>
    </w:pPr>
  </w:style>
  <w:style w:type="character" w:customStyle="1" w:styleId="eop">
    <w:name w:val="eop"/>
    <w:basedOn w:val="Standardskrifttypeiafsnit"/>
    <w:rsid w:val="006261A4"/>
  </w:style>
  <w:style w:type="character" w:customStyle="1" w:styleId="normaltextrun">
    <w:name w:val="normaltextrun"/>
    <w:basedOn w:val="Standardskrifttypeiafsnit"/>
    <w:rsid w:val="006261A4"/>
  </w:style>
  <w:style w:type="paragraph" w:styleId="Titel">
    <w:name w:val="Title"/>
    <w:basedOn w:val="Normal"/>
    <w:next w:val="Normal"/>
    <w:link w:val="TitelTegn"/>
    <w:uiPriority w:val="10"/>
    <w:qFormat/>
    <w:rsid w:val="00A717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7177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A71773"/>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4842E5"/>
    <w:pPr>
      <w:spacing w:before="100" w:beforeAutospacing="1" w:after="100" w:afterAutospacing="1" w:line="240" w:lineRule="auto"/>
    </w:pPr>
    <w:rPr>
      <w:rFonts w:ascii="Times New Roman" w:eastAsia="Times New Roman" w:hAnsi="Times New Roman"/>
      <w:sz w:val="24"/>
      <w:szCs w:val="24"/>
      <w:lang w:eastAsia="da-DK"/>
    </w:rPr>
  </w:style>
  <w:style w:type="paragraph" w:styleId="Sidehoved">
    <w:name w:val="header"/>
    <w:basedOn w:val="Normal"/>
    <w:link w:val="SidehovedTegn"/>
    <w:uiPriority w:val="99"/>
    <w:unhideWhenUsed/>
    <w:rsid w:val="00585C3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5C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6343</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Rasmussen</dc:creator>
  <cp:lastModifiedBy>Lotte Klejs Jørgensen</cp:lastModifiedBy>
  <cp:revision>2</cp:revision>
  <cp:lastPrinted>2011-09-30T08:28:00Z</cp:lastPrinted>
  <dcterms:created xsi:type="dcterms:W3CDTF">2023-12-12T13:29:00Z</dcterms:created>
  <dcterms:modified xsi:type="dcterms:W3CDTF">2023-12-12T13:29:00Z</dcterms:modified>
</cp:coreProperties>
</file>